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Ownership concentration, institutional ownership and stock return: The case of India</w:t>
      </w:r>
    </w:p>
    <w:p w14:paraId="3C4FEED8" w14:textId="77777777" w:rsidR="00142FA7" w:rsidRDefault="00142FA7" w:rsidP="0008434D">
      <w:pPr>
        <w:spacing w:line="240" w:lineRule="auto"/>
        <w:jc w:val="both"/>
        <w:rPr>
          <w:rFonts w:ascii="Times New Roman" w:hAnsi="Times New Roman" w:cs="Times New Roman"/>
          <w:i/>
          <w:sz w:val="20"/>
          <w:lang w:val="en-GB"/>
        </w:rPr>
      </w:pPr>
    </w:p>
    <w:p w14:paraId="5D56C695" w14:textId="1E1DCB72" w:rsidR="00142FA7" w:rsidRDefault="00142FA7" w:rsidP="0008434D">
      <w:pPr>
        <w:spacing w:line="240" w:lineRule="auto"/>
        <w:jc w:val="both"/>
        <w:rPr>
          <w:rFonts w:ascii="Times New Roman" w:hAnsi="Times New Roman" w:cs="Times New Roman"/>
          <w:i/>
          <w:sz w:val="20"/>
          <w:lang w:val="en-GB"/>
        </w:rPr>
      </w:pPr>
      <w:r>
        <w:rPr>
          <w:rFonts w:ascii="Times New Roman" w:hAnsi="Times New Roman" w:cs="Times New Roman"/>
          <w:i/>
          <w:sz w:val="20"/>
          <w:lang w:val="en-GB"/>
        </w:rPr>
        <w:t>Author(s)</w:t>
      </w:r>
    </w:p>
    <w:p w14:paraId="37CE0CFA" w14:textId="77777777" w:rsidR="00142FA7" w:rsidRDefault="00142FA7" w:rsidP="00142FA7">
      <w:pPr>
        <w:spacing w:line="240" w:lineRule="auto"/>
        <w:jc w:val="both"/>
        <w:rPr>
          <w:rFonts w:ascii="Times New Roman" w:hAnsi="Times New Roman" w:cs="Times New Roman"/>
          <w:i/>
          <w:sz w:val="20"/>
          <w:lang w:val="en-GB"/>
        </w:rPr>
      </w:pPr>
      <w:r>
        <w:rPr>
          <w:rFonts w:ascii="Times New Roman" w:hAnsi="Times New Roman" w:cs="Times New Roman"/>
          <w:i/>
          <w:sz w:val="20"/>
          <w:lang w:val="en-GB"/>
        </w:rPr>
        <w:t xml:space="preserve">Designation/Affiliation </w:t>
      </w:r>
    </w:p>
    <w:p w14:paraId="48037D42" w14:textId="6B84E83D" w:rsidR="007E73BB" w:rsidRPr="00F2448C" w:rsidRDefault="00376B81" w:rsidP="00142FA7">
      <w:pPr>
        <w:spacing w:line="240" w:lineRule="auto"/>
        <w:jc w:val="both"/>
        <w:rPr>
          <w:rFonts w:ascii="Times New Roman" w:hAnsi="Times New Roman" w:cs="Times New Roman"/>
          <w:sz w:val="28"/>
          <w:lang w:val="en-GB"/>
        </w:rPr>
      </w:pPr>
      <w:r w:rsidRPr="00F2448C">
        <w:rPr>
          <w:rFonts w:ascii="Times New Roman" w:hAnsi="Times New Roman" w:cs="Times New Roman"/>
          <w:sz w:val="20"/>
          <w:lang w:val="en-GB"/>
        </w:rPr>
        <w:t>E-mai</w:t>
      </w:r>
      <w:r w:rsidR="00142FA7">
        <w:rPr>
          <w:rFonts w:ascii="Times New Roman" w:hAnsi="Times New Roman" w:cs="Times New Roman"/>
          <w:sz w:val="20"/>
          <w:lang w:val="en-GB"/>
        </w:rPr>
        <w:t>l</w:t>
      </w: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pre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64ABEFA" w14:textId="1410943E"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754C8CC9" w14:textId="77777777" w:rsidR="0016749B" w:rsidRPr="00F2448C" w:rsidRDefault="0016749B"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3D55D343"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4308F7" w:rsidRPr="00F2448C">
        <w:rPr>
          <w:rFonts w:ascii="Times New Roman" w:hAnsi="Times New Roman" w:cs="Times New Roman"/>
          <w:sz w:val="20"/>
          <w:lang w:val="en-GB"/>
        </w:rPr>
        <w:t xml:space="preserve">Shleifer and </w:t>
      </w:r>
      <w:proofErr w:type="spellStart"/>
      <w:r w:rsidR="004308F7" w:rsidRPr="00F2448C">
        <w:rPr>
          <w:rFonts w:ascii="Times New Roman" w:hAnsi="Times New Roman" w:cs="Times New Roman"/>
          <w:sz w:val="20"/>
          <w:lang w:val="en-GB"/>
        </w:rPr>
        <w:t>Vishny</w:t>
      </w:r>
      <w:proofErr w:type="spellEnd"/>
      <w:r w:rsidR="004308F7" w:rsidRPr="00F2448C">
        <w:rPr>
          <w:rFonts w:ascii="Times New Roman" w:hAnsi="Times New Roman" w:cs="Times New Roman"/>
          <w:sz w:val="20"/>
          <w:lang w:val="en-GB"/>
        </w:rPr>
        <w:t>, 1986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5F6B3C0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concentrated ownership (</w:t>
      </w:r>
      <w:r w:rsidR="004308F7" w:rsidRPr="00F2448C">
        <w:rPr>
          <w:rFonts w:ascii="Times New Roman" w:hAnsi="Times New Roman" w:cs="Times New Roman"/>
          <w:sz w:val="20"/>
          <w:lang w:val="en-GB"/>
        </w:rPr>
        <w:t>Laporta</w:t>
      </w:r>
      <w:r w:rsidR="009A77E1" w:rsidRPr="00F2448C">
        <w:rPr>
          <w:rFonts w:ascii="Times New Roman" w:hAnsi="Times New Roman" w:cs="Times New Roman"/>
          <w:sz w:val="20"/>
          <w:lang w:val="en-GB"/>
        </w:rPr>
        <w:t xml:space="preserve"> et al.</w:t>
      </w:r>
      <w:r w:rsidR="004308F7" w:rsidRPr="00F2448C">
        <w:rPr>
          <w:rFonts w:ascii="Times New Roman" w:hAnsi="Times New Roman" w:cs="Times New Roman"/>
          <w:sz w:val="20"/>
          <w:lang w:val="en-GB"/>
        </w:rPr>
        <w:t>, 1999</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Further, it found institutional investors as one of the key owners in the corporate ownership structure, where they influence the management through their holdings and monitoring</w:t>
      </w:r>
      <w:r w:rsidR="004308F7" w:rsidRPr="00F2448C">
        <w:rPr>
          <w:rFonts w:ascii="Times New Roman" w:hAnsi="Times New Roman" w:cs="Times New Roman"/>
          <w:sz w:val="20"/>
          <w:lang w:val="en-GB"/>
        </w:rPr>
        <w:t xml:space="preserve"> (McNulty and Nordberg</w:t>
      </w:r>
      <w:r w:rsidR="004368B3"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2016)</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lastRenderedPageBreak/>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56D8B97D"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Early evidence on the relationship between the ownership concentration and firm performance can be traced back to the work of </w:t>
      </w:r>
      <w:proofErr w:type="spellStart"/>
      <w:r w:rsidRPr="00F2448C">
        <w:rPr>
          <w:rFonts w:ascii="Times New Roman" w:eastAsia="Times New Roman" w:hAnsi="Times New Roman" w:cs="Times New Roman"/>
          <w:sz w:val="20"/>
          <w:lang w:val="en-GB" w:eastAsia="en-IN"/>
        </w:rPr>
        <w:t>Demsetz</w:t>
      </w:r>
      <w:proofErr w:type="spellEnd"/>
      <w:r w:rsidRPr="00F2448C">
        <w:rPr>
          <w:rFonts w:ascii="Times New Roman" w:eastAsia="Times New Roman" w:hAnsi="Times New Roman" w:cs="Times New Roman"/>
          <w:sz w:val="20"/>
          <w:lang w:val="en-GB" w:eastAsia="en-IN"/>
        </w:rPr>
        <w:t xml:space="preserve">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 Further, the study of Clark and Wojcik (2005) on the German corporates revealed that concentrated ownership negatively affect the stock return.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Malaysian context found that large ownership holding is detrimental to the stock return.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 xml:space="preserve">examined the different ownership holdings effect on stock return, where they inferred that block holdings have a positive effect on the stock return.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4AD5BA49"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 xml:space="preserve">a higher stock return. Similarly, </w:t>
      </w:r>
      <w:proofErr w:type="spellStart"/>
      <w:r w:rsidRPr="00F2448C">
        <w:rPr>
          <w:rFonts w:ascii="Times New Roman" w:eastAsia="Times New Roman" w:hAnsi="Times New Roman" w:cs="Times New Roman"/>
          <w:sz w:val="20"/>
          <w:lang w:val="en-GB" w:eastAsia="en-IN"/>
        </w:rPr>
        <w:t>Ovtcharova</w:t>
      </w:r>
      <w:proofErr w:type="spellEnd"/>
      <w:r w:rsidRPr="00F2448C">
        <w:rPr>
          <w:rFonts w:ascii="Times New Roman" w:eastAsia="Times New Roman" w:hAnsi="Times New Roman" w:cs="Times New Roman"/>
          <w:sz w:val="20"/>
          <w:lang w:val="en-GB" w:eastAsia="en-IN"/>
        </w:rPr>
        <w:t xml:space="preserve"> (2003) reported that institutional ownership reflected a positive stock return in stocks with high institutional ownership than stocks with low institutional ownership, which is in line with the findings of the Gompers and Metrick (2001).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US market provided the evidence on the positive role of institutional monitoring in improving the stock return of the real estate investment trusts (REITs).  </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0024CDE9"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Cella (2009) made a study on European firms to examine the effect of ownership structure on stock returns, where it was concluded that institutional holdings deleteriously affect the stock returns.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 xml:space="preserve">2015) that institutional owners enhance the price efficiency. Similarly, </w:t>
      </w:r>
      <w:proofErr w:type="spellStart"/>
      <w:r w:rsidRPr="00F2448C">
        <w:rPr>
          <w:rFonts w:ascii="Times New Roman" w:eastAsia="Times New Roman" w:hAnsi="Times New Roman" w:cs="Times New Roman"/>
          <w:sz w:val="20"/>
          <w:lang w:val="en-GB" w:eastAsia="en-IN"/>
        </w:rPr>
        <w:t>Dyakov</w:t>
      </w:r>
      <w:proofErr w:type="spellEnd"/>
      <w:r w:rsidRPr="00F2448C">
        <w:rPr>
          <w:rFonts w:ascii="Times New Roman" w:eastAsia="Times New Roman" w:hAnsi="Times New Roman" w:cs="Times New Roman"/>
          <w:sz w:val="20"/>
          <w:lang w:val="en-GB" w:eastAsia="en-IN"/>
        </w:rPr>
        <w:t xml:space="preserve"> and </w:t>
      </w:r>
      <w:proofErr w:type="spellStart"/>
      <w:r w:rsidRPr="00F2448C">
        <w:rPr>
          <w:rFonts w:ascii="Times New Roman" w:eastAsia="Times New Roman" w:hAnsi="Times New Roman" w:cs="Times New Roman"/>
          <w:sz w:val="20"/>
          <w:lang w:val="en-GB" w:eastAsia="en-IN"/>
        </w:rPr>
        <w:t>Wipplinger</w:t>
      </w:r>
      <w:proofErr w:type="spellEnd"/>
      <w:r w:rsidRPr="00F2448C">
        <w:rPr>
          <w:rFonts w:ascii="Times New Roman" w:eastAsia="Times New Roman" w:hAnsi="Times New Roman" w:cs="Times New Roman"/>
          <w:sz w:val="20"/>
          <w:lang w:val="en-GB" w:eastAsia="en-IN"/>
        </w:rPr>
        <w:t xml:space="preserve"> (2020) indicated a weak positive association between the equity holdings of the institutional investors and stock returns in sixteen emerging and developed economies. The study of Chuang (2020) 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term positive effect as well as a negative long term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 xml:space="preserve">sistent with the works of Dasgupta et al. (2011).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589B6D12"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is considered to be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(Sikorski, 2011).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(Singh </w:t>
      </w:r>
      <w:r w:rsidR="00BD2F20" w:rsidRPr="00F2448C">
        <w:rPr>
          <w:rFonts w:ascii="Times New Roman" w:eastAsia="Times New Roman" w:hAnsi="Times New Roman" w:cs="Times New Roman"/>
          <w:sz w:val="20"/>
          <w:lang w:val="en-GB" w:eastAsia="en-IN"/>
        </w:rPr>
        <w:t>and</w:t>
      </w:r>
      <w:r w:rsidRPr="00F2448C">
        <w:rPr>
          <w:rFonts w:ascii="Times New Roman" w:eastAsia="Times New Roman" w:hAnsi="Times New Roman" w:cs="Times New Roman"/>
          <w:sz w:val="20"/>
          <w:lang w:val="en-GB" w:eastAsia="en-IN"/>
        </w:rPr>
        <w:t xml:space="preserve"> Singh, 2016).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w:t>
      </w:r>
      <w:r w:rsidRPr="00F2448C">
        <w:rPr>
          <w:rFonts w:ascii="Times New Roman" w:eastAsia="Times New Roman" w:hAnsi="Times New Roman" w:cs="Times New Roman"/>
          <w:sz w:val="20"/>
          <w:lang w:val="en-GB" w:eastAsia="en-IN"/>
        </w:rPr>
        <w:lastRenderedPageBreak/>
        <w:t xml:space="preserve">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2419CAEC"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Pr="00F2448C">
        <w:rPr>
          <w:rFonts w:ascii="Times New Roman" w:eastAsia="Times New Roman" w:hAnsi="Times New Roman" w:cs="Times New Roman"/>
          <w:iCs/>
          <w:color w:val="000000" w:themeColor="text1"/>
          <w:sz w:val="20"/>
          <w:szCs w:val="24"/>
          <w:lang w:val="en-GB" w:eastAsia="en-GB"/>
        </w:rPr>
        <w:t>simultaneity (</w:t>
      </w:r>
      <w:r w:rsidRPr="00F2448C">
        <w:rPr>
          <w:rFonts w:ascii="Times New Roman" w:hAnsi="Times New Roman" w:cs="Times New Roman"/>
          <w:color w:val="000000" w:themeColor="text1"/>
          <w:sz w:val="20"/>
          <w:lang w:val="en-GB"/>
        </w:rPr>
        <w:t>Wooldridge, 2013).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 xml:space="preserve">Arellano–Bond test, </w:t>
      </w:r>
      <w:proofErr w:type="spellStart"/>
      <w:r w:rsidRPr="00F2448C">
        <w:rPr>
          <w:rFonts w:ascii="Times New Roman" w:hAnsi="Times New Roman" w:cs="Times New Roman"/>
          <w:color w:val="000000" w:themeColor="text1"/>
          <w:sz w:val="20"/>
          <w:lang w:val="en-GB"/>
        </w:rPr>
        <w:t>Sargan</w:t>
      </w:r>
      <w:proofErr w:type="spellEnd"/>
      <w:r w:rsidRPr="00F2448C">
        <w:rPr>
          <w:rFonts w:ascii="Times New Roman" w:hAnsi="Times New Roman" w:cs="Times New Roman"/>
          <w:color w:val="000000" w:themeColor="text1"/>
          <w:sz w:val="20"/>
          <w:lang w:val="en-GB"/>
        </w:rPr>
        <w:t xml:space="preserve">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 xml:space="preserve">The insignificant p-values of </w:t>
      </w:r>
      <w:proofErr w:type="spellStart"/>
      <w:r w:rsidRPr="00F2448C">
        <w:rPr>
          <w:rFonts w:ascii="Times New Roman" w:eastAsia="Times New Roman" w:hAnsi="Times New Roman" w:cs="Times New Roman"/>
          <w:iCs/>
          <w:color w:val="000000"/>
          <w:sz w:val="20"/>
          <w:lang w:val="en-GB" w:eastAsia="en-IN"/>
        </w:rPr>
        <w:t>Sargan</w:t>
      </w:r>
      <w:proofErr w:type="spellEnd"/>
      <w:r w:rsidRPr="00F2448C">
        <w:rPr>
          <w:rFonts w:ascii="Times New Roman" w:eastAsia="Times New Roman" w:hAnsi="Times New Roman" w:cs="Times New Roman"/>
          <w:iCs/>
          <w:color w:val="000000"/>
          <w:sz w:val="20"/>
          <w:lang w:val="en-GB" w:eastAsia="en-IN"/>
        </w:rPr>
        <w:t xml:space="preserve"> test</w:t>
      </w:r>
      <w:r w:rsidR="003339C9" w:rsidRPr="00F2448C">
        <w:rPr>
          <w:rFonts w:ascii="Times New Roman" w:eastAsia="Times New Roman" w:hAnsi="Times New Roman" w:cs="Times New Roman"/>
          <w:iCs/>
          <w:color w:val="000000"/>
          <w:sz w:val="20"/>
          <w:lang w:val="en-GB" w:eastAsia="en-IN"/>
        </w:rPr>
        <w:t xml:space="preserve"> 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000000"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000000"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payout.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0C81C677" w14:textId="56B70FB6" w:rsidR="0003678D" w:rsidRPr="00F2448C" w:rsidRDefault="0028447D"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69A7738F" w14:textId="43F994FB" w:rsidR="00A03C33" w:rsidRPr="00F2448C"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F2448C" w14:paraId="6A78FF5B" w14:textId="77777777" w:rsidTr="00A03C33">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580914D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960" w:type="dxa"/>
            <w:tcBorders>
              <w:top w:val="single" w:sz="4" w:space="0" w:color="auto"/>
              <w:left w:val="nil"/>
              <w:bottom w:val="single" w:sz="4" w:space="0" w:color="auto"/>
              <w:right w:val="nil"/>
            </w:tcBorders>
            <w:shd w:val="clear" w:color="auto" w:fill="auto"/>
            <w:noWrap/>
            <w:vAlign w:val="center"/>
            <w:hideMark/>
          </w:tcPr>
          <w:p w14:paraId="6F72029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960" w:type="dxa"/>
            <w:tcBorders>
              <w:top w:val="single" w:sz="4" w:space="0" w:color="auto"/>
              <w:left w:val="nil"/>
              <w:bottom w:val="single" w:sz="4" w:space="0" w:color="auto"/>
              <w:right w:val="nil"/>
            </w:tcBorders>
            <w:shd w:val="clear" w:color="auto" w:fill="auto"/>
            <w:noWrap/>
            <w:vAlign w:val="center"/>
            <w:hideMark/>
          </w:tcPr>
          <w:p w14:paraId="03D9CCA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960" w:type="dxa"/>
            <w:tcBorders>
              <w:top w:val="single" w:sz="4" w:space="0" w:color="auto"/>
              <w:left w:val="nil"/>
              <w:bottom w:val="single" w:sz="4" w:space="0" w:color="auto"/>
              <w:right w:val="nil"/>
            </w:tcBorders>
            <w:shd w:val="clear" w:color="auto" w:fill="auto"/>
            <w:noWrap/>
            <w:vAlign w:val="center"/>
            <w:hideMark/>
          </w:tcPr>
          <w:p w14:paraId="558BB61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6BD68C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20CEFD38" w14:textId="5072114D"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 xml:space="preserve">Standard </w:t>
            </w:r>
            <w:r w:rsidR="00EE10D5" w:rsidRPr="00F2448C">
              <w:rPr>
                <w:rFonts w:ascii="Times New Roman" w:eastAsia="Times New Roman" w:hAnsi="Times New Roman" w:cs="Times New Roman"/>
                <w:color w:val="000000"/>
                <w:sz w:val="20"/>
                <w:szCs w:val="24"/>
                <w:lang w:val="en-GB"/>
              </w:rPr>
              <w:t>deviation</w:t>
            </w:r>
          </w:p>
        </w:tc>
        <w:tc>
          <w:tcPr>
            <w:tcW w:w="1095" w:type="dxa"/>
            <w:tcBorders>
              <w:top w:val="single" w:sz="4" w:space="0" w:color="auto"/>
              <w:left w:val="nil"/>
              <w:bottom w:val="single" w:sz="4" w:space="0" w:color="auto"/>
              <w:right w:val="nil"/>
            </w:tcBorders>
            <w:shd w:val="clear" w:color="auto" w:fill="auto"/>
            <w:noWrap/>
            <w:vAlign w:val="center"/>
            <w:hideMark/>
          </w:tcPr>
          <w:p w14:paraId="3FD506F7"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A03C33" w:rsidRPr="00F2448C" w14:paraId="24D0541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3EE926C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lastRenderedPageBreak/>
              <w:t>SR</w:t>
            </w:r>
          </w:p>
        </w:tc>
        <w:tc>
          <w:tcPr>
            <w:tcW w:w="960" w:type="dxa"/>
            <w:tcBorders>
              <w:top w:val="nil"/>
              <w:left w:val="nil"/>
              <w:bottom w:val="nil"/>
              <w:right w:val="nil"/>
            </w:tcBorders>
            <w:shd w:val="clear" w:color="auto" w:fill="auto"/>
            <w:noWrap/>
            <w:vAlign w:val="center"/>
            <w:hideMark/>
          </w:tcPr>
          <w:p w14:paraId="118200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960" w:type="dxa"/>
            <w:tcBorders>
              <w:top w:val="nil"/>
              <w:left w:val="nil"/>
              <w:bottom w:val="nil"/>
              <w:right w:val="nil"/>
            </w:tcBorders>
            <w:shd w:val="clear" w:color="auto" w:fill="auto"/>
            <w:noWrap/>
            <w:vAlign w:val="center"/>
            <w:hideMark/>
          </w:tcPr>
          <w:p w14:paraId="4353746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960" w:type="dxa"/>
            <w:tcBorders>
              <w:top w:val="nil"/>
              <w:left w:val="nil"/>
              <w:bottom w:val="nil"/>
              <w:right w:val="nil"/>
            </w:tcBorders>
            <w:shd w:val="clear" w:color="auto" w:fill="auto"/>
            <w:noWrap/>
            <w:vAlign w:val="center"/>
            <w:hideMark/>
          </w:tcPr>
          <w:p w14:paraId="73A55DB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960" w:type="dxa"/>
            <w:tcBorders>
              <w:top w:val="nil"/>
              <w:left w:val="nil"/>
              <w:bottom w:val="nil"/>
              <w:right w:val="nil"/>
            </w:tcBorders>
            <w:shd w:val="clear" w:color="auto" w:fill="auto"/>
            <w:noWrap/>
            <w:vAlign w:val="center"/>
            <w:hideMark/>
          </w:tcPr>
          <w:p w14:paraId="2A0A49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67AF706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095" w:type="dxa"/>
            <w:tcBorders>
              <w:top w:val="nil"/>
              <w:left w:val="nil"/>
              <w:bottom w:val="nil"/>
              <w:right w:val="nil"/>
            </w:tcBorders>
            <w:shd w:val="clear" w:color="auto" w:fill="auto"/>
            <w:noWrap/>
            <w:vAlign w:val="center"/>
            <w:hideMark/>
          </w:tcPr>
          <w:p w14:paraId="5077F3C9"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545AF6A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736C9AC"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960" w:type="dxa"/>
            <w:tcBorders>
              <w:top w:val="nil"/>
              <w:left w:val="nil"/>
              <w:bottom w:val="nil"/>
              <w:right w:val="nil"/>
            </w:tcBorders>
            <w:shd w:val="clear" w:color="auto" w:fill="auto"/>
            <w:noWrap/>
            <w:vAlign w:val="center"/>
            <w:hideMark/>
          </w:tcPr>
          <w:p w14:paraId="3BE3CB1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960" w:type="dxa"/>
            <w:tcBorders>
              <w:top w:val="nil"/>
              <w:left w:val="nil"/>
              <w:bottom w:val="nil"/>
              <w:right w:val="nil"/>
            </w:tcBorders>
            <w:shd w:val="clear" w:color="auto" w:fill="auto"/>
            <w:noWrap/>
            <w:vAlign w:val="center"/>
            <w:hideMark/>
          </w:tcPr>
          <w:p w14:paraId="2CF2F1A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960" w:type="dxa"/>
            <w:tcBorders>
              <w:top w:val="nil"/>
              <w:left w:val="nil"/>
              <w:bottom w:val="nil"/>
              <w:right w:val="nil"/>
            </w:tcBorders>
            <w:shd w:val="clear" w:color="auto" w:fill="auto"/>
            <w:noWrap/>
            <w:vAlign w:val="center"/>
            <w:hideMark/>
          </w:tcPr>
          <w:p w14:paraId="7F2D1AE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960" w:type="dxa"/>
            <w:tcBorders>
              <w:top w:val="nil"/>
              <w:left w:val="nil"/>
              <w:bottom w:val="nil"/>
              <w:right w:val="nil"/>
            </w:tcBorders>
            <w:shd w:val="clear" w:color="auto" w:fill="auto"/>
            <w:noWrap/>
            <w:vAlign w:val="center"/>
            <w:hideMark/>
          </w:tcPr>
          <w:p w14:paraId="006F34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453AAE6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095" w:type="dxa"/>
            <w:tcBorders>
              <w:top w:val="nil"/>
              <w:left w:val="nil"/>
              <w:bottom w:val="nil"/>
              <w:right w:val="nil"/>
            </w:tcBorders>
            <w:shd w:val="clear" w:color="auto" w:fill="auto"/>
            <w:noWrap/>
            <w:vAlign w:val="center"/>
            <w:hideMark/>
          </w:tcPr>
          <w:p w14:paraId="7742AFB0"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B1B583A"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40B597D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960" w:type="dxa"/>
            <w:tcBorders>
              <w:top w:val="nil"/>
              <w:left w:val="nil"/>
              <w:bottom w:val="nil"/>
              <w:right w:val="nil"/>
            </w:tcBorders>
            <w:shd w:val="clear" w:color="auto" w:fill="auto"/>
            <w:noWrap/>
            <w:vAlign w:val="center"/>
            <w:hideMark/>
          </w:tcPr>
          <w:p w14:paraId="118E38B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960" w:type="dxa"/>
            <w:tcBorders>
              <w:top w:val="nil"/>
              <w:left w:val="nil"/>
              <w:bottom w:val="nil"/>
              <w:right w:val="nil"/>
            </w:tcBorders>
            <w:shd w:val="clear" w:color="auto" w:fill="auto"/>
            <w:noWrap/>
            <w:vAlign w:val="center"/>
            <w:hideMark/>
          </w:tcPr>
          <w:p w14:paraId="1823A89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960" w:type="dxa"/>
            <w:tcBorders>
              <w:top w:val="nil"/>
              <w:left w:val="nil"/>
              <w:bottom w:val="nil"/>
              <w:right w:val="nil"/>
            </w:tcBorders>
            <w:shd w:val="clear" w:color="auto" w:fill="auto"/>
            <w:noWrap/>
            <w:vAlign w:val="center"/>
            <w:hideMark/>
          </w:tcPr>
          <w:p w14:paraId="2B0875D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960" w:type="dxa"/>
            <w:tcBorders>
              <w:top w:val="nil"/>
              <w:left w:val="nil"/>
              <w:bottom w:val="nil"/>
              <w:right w:val="nil"/>
            </w:tcBorders>
            <w:shd w:val="clear" w:color="auto" w:fill="auto"/>
            <w:noWrap/>
            <w:vAlign w:val="center"/>
            <w:hideMark/>
          </w:tcPr>
          <w:p w14:paraId="7E9D74A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960" w:type="dxa"/>
            <w:tcBorders>
              <w:top w:val="nil"/>
              <w:left w:val="nil"/>
              <w:bottom w:val="nil"/>
              <w:right w:val="nil"/>
            </w:tcBorders>
            <w:shd w:val="clear" w:color="auto" w:fill="auto"/>
            <w:noWrap/>
            <w:vAlign w:val="center"/>
            <w:hideMark/>
          </w:tcPr>
          <w:p w14:paraId="7991D3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095" w:type="dxa"/>
            <w:tcBorders>
              <w:top w:val="nil"/>
              <w:left w:val="nil"/>
              <w:bottom w:val="nil"/>
              <w:right w:val="nil"/>
            </w:tcBorders>
            <w:shd w:val="clear" w:color="auto" w:fill="auto"/>
            <w:noWrap/>
            <w:vAlign w:val="center"/>
            <w:hideMark/>
          </w:tcPr>
          <w:p w14:paraId="6A787B3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0FA910E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31476D8"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960" w:type="dxa"/>
            <w:tcBorders>
              <w:top w:val="nil"/>
              <w:left w:val="nil"/>
              <w:bottom w:val="nil"/>
              <w:right w:val="nil"/>
            </w:tcBorders>
            <w:shd w:val="clear" w:color="auto" w:fill="auto"/>
            <w:noWrap/>
            <w:vAlign w:val="center"/>
            <w:hideMark/>
          </w:tcPr>
          <w:p w14:paraId="53202B2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960" w:type="dxa"/>
            <w:tcBorders>
              <w:top w:val="nil"/>
              <w:left w:val="nil"/>
              <w:bottom w:val="nil"/>
              <w:right w:val="nil"/>
            </w:tcBorders>
            <w:shd w:val="clear" w:color="auto" w:fill="auto"/>
            <w:noWrap/>
            <w:vAlign w:val="center"/>
            <w:hideMark/>
          </w:tcPr>
          <w:p w14:paraId="1423C2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960" w:type="dxa"/>
            <w:tcBorders>
              <w:top w:val="nil"/>
              <w:left w:val="nil"/>
              <w:bottom w:val="nil"/>
              <w:right w:val="nil"/>
            </w:tcBorders>
            <w:shd w:val="clear" w:color="auto" w:fill="auto"/>
            <w:noWrap/>
            <w:vAlign w:val="center"/>
            <w:hideMark/>
          </w:tcPr>
          <w:p w14:paraId="3AE6618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960" w:type="dxa"/>
            <w:tcBorders>
              <w:top w:val="nil"/>
              <w:left w:val="nil"/>
              <w:bottom w:val="nil"/>
              <w:right w:val="nil"/>
            </w:tcBorders>
            <w:shd w:val="clear" w:color="auto" w:fill="auto"/>
            <w:noWrap/>
            <w:vAlign w:val="center"/>
            <w:hideMark/>
          </w:tcPr>
          <w:p w14:paraId="33377B8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960" w:type="dxa"/>
            <w:tcBorders>
              <w:top w:val="nil"/>
              <w:left w:val="nil"/>
              <w:bottom w:val="nil"/>
              <w:right w:val="nil"/>
            </w:tcBorders>
            <w:shd w:val="clear" w:color="auto" w:fill="auto"/>
            <w:noWrap/>
            <w:vAlign w:val="center"/>
            <w:hideMark/>
          </w:tcPr>
          <w:p w14:paraId="728A2E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095" w:type="dxa"/>
            <w:tcBorders>
              <w:top w:val="nil"/>
              <w:left w:val="nil"/>
              <w:bottom w:val="nil"/>
              <w:right w:val="nil"/>
            </w:tcBorders>
            <w:shd w:val="clear" w:color="auto" w:fill="auto"/>
            <w:noWrap/>
            <w:vAlign w:val="center"/>
            <w:hideMark/>
          </w:tcPr>
          <w:p w14:paraId="3A31482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2874650"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3FA2B8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FS</w:t>
            </w:r>
          </w:p>
        </w:tc>
        <w:tc>
          <w:tcPr>
            <w:tcW w:w="960" w:type="dxa"/>
            <w:tcBorders>
              <w:top w:val="nil"/>
              <w:left w:val="nil"/>
              <w:bottom w:val="nil"/>
              <w:right w:val="nil"/>
            </w:tcBorders>
            <w:shd w:val="clear" w:color="auto" w:fill="auto"/>
            <w:noWrap/>
            <w:vAlign w:val="center"/>
            <w:hideMark/>
          </w:tcPr>
          <w:p w14:paraId="0F63FFE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960" w:type="dxa"/>
            <w:tcBorders>
              <w:top w:val="nil"/>
              <w:left w:val="nil"/>
              <w:bottom w:val="nil"/>
              <w:right w:val="nil"/>
            </w:tcBorders>
            <w:shd w:val="clear" w:color="auto" w:fill="auto"/>
            <w:noWrap/>
            <w:vAlign w:val="center"/>
            <w:hideMark/>
          </w:tcPr>
          <w:p w14:paraId="0A5D2D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960" w:type="dxa"/>
            <w:tcBorders>
              <w:top w:val="nil"/>
              <w:left w:val="nil"/>
              <w:bottom w:val="nil"/>
              <w:right w:val="nil"/>
            </w:tcBorders>
            <w:shd w:val="clear" w:color="auto" w:fill="auto"/>
            <w:noWrap/>
            <w:vAlign w:val="center"/>
            <w:hideMark/>
          </w:tcPr>
          <w:p w14:paraId="33A415F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960" w:type="dxa"/>
            <w:tcBorders>
              <w:top w:val="nil"/>
              <w:left w:val="nil"/>
              <w:bottom w:val="nil"/>
              <w:right w:val="nil"/>
            </w:tcBorders>
            <w:shd w:val="clear" w:color="auto" w:fill="auto"/>
            <w:noWrap/>
            <w:vAlign w:val="center"/>
            <w:hideMark/>
          </w:tcPr>
          <w:p w14:paraId="38EAC7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960" w:type="dxa"/>
            <w:tcBorders>
              <w:top w:val="nil"/>
              <w:left w:val="nil"/>
              <w:bottom w:val="nil"/>
              <w:right w:val="nil"/>
            </w:tcBorders>
            <w:shd w:val="clear" w:color="auto" w:fill="auto"/>
            <w:noWrap/>
            <w:vAlign w:val="center"/>
            <w:hideMark/>
          </w:tcPr>
          <w:p w14:paraId="220653E1"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095" w:type="dxa"/>
            <w:tcBorders>
              <w:top w:val="nil"/>
              <w:left w:val="nil"/>
              <w:bottom w:val="nil"/>
              <w:right w:val="nil"/>
            </w:tcBorders>
            <w:shd w:val="clear" w:color="auto" w:fill="auto"/>
            <w:noWrap/>
            <w:vAlign w:val="center"/>
            <w:hideMark/>
          </w:tcPr>
          <w:p w14:paraId="67CCAFF5"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397CA7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0AA12BA7"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960" w:type="dxa"/>
            <w:tcBorders>
              <w:top w:val="nil"/>
              <w:left w:val="nil"/>
              <w:bottom w:val="nil"/>
              <w:right w:val="nil"/>
            </w:tcBorders>
            <w:shd w:val="clear" w:color="auto" w:fill="auto"/>
            <w:noWrap/>
            <w:vAlign w:val="center"/>
            <w:hideMark/>
          </w:tcPr>
          <w:p w14:paraId="64146F2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960" w:type="dxa"/>
            <w:tcBorders>
              <w:top w:val="nil"/>
              <w:left w:val="nil"/>
              <w:bottom w:val="nil"/>
              <w:right w:val="nil"/>
            </w:tcBorders>
            <w:shd w:val="clear" w:color="auto" w:fill="auto"/>
            <w:noWrap/>
            <w:vAlign w:val="center"/>
            <w:hideMark/>
          </w:tcPr>
          <w:p w14:paraId="7EF9CC1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960" w:type="dxa"/>
            <w:tcBorders>
              <w:top w:val="nil"/>
              <w:left w:val="nil"/>
              <w:bottom w:val="nil"/>
              <w:right w:val="nil"/>
            </w:tcBorders>
            <w:shd w:val="clear" w:color="auto" w:fill="auto"/>
            <w:noWrap/>
            <w:vAlign w:val="center"/>
            <w:hideMark/>
          </w:tcPr>
          <w:p w14:paraId="501777C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2F5AFD0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960" w:type="dxa"/>
            <w:tcBorders>
              <w:top w:val="nil"/>
              <w:left w:val="nil"/>
              <w:bottom w:val="nil"/>
              <w:right w:val="nil"/>
            </w:tcBorders>
            <w:shd w:val="clear" w:color="auto" w:fill="auto"/>
            <w:noWrap/>
            <w:vAlign w:val="center"/>
            <w:hideMark/>
          </w:tcPr>
          <w:p w14:paraId="50A92F4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095" w:type="dxa"/>
            <w:tcBorders>
              <w:top w:val="nil"/>
              <w:left w:val="nil"/>
              <w:bottom w:val="nil"/>
              <w:right w:val="nil"/>
            </w:tcBorders>
            <w:shd w:val="clear" w:color="auto" w:fill="auto"/>
            <w:noWrap/>
            <w:vAlign w:val="center"/>
            <w:hideMark/>
          </w:tcPr>
          <w:p w14:paraId="0586E8A6"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16B161E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113F573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960" w:type="dxa"/>
            <w:tcBorders>
              <w:top w:val="nil"/>
              <w:left w:val="nil"/>
              <w:bottom w:val="nil"/>
              <w:right w:val="nil"/>
            </w:tcBorders>
            <w:shd w:val="clear" w:color="auto" w:fill="auto"/>
            <w:noWrap/>
            <w:vAlign w:val="center"/>
            <w:hideMark/>
          </w:tcPr>
          <w:p w14:paraId="4601382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960" w:type="dxa"/>
            <w:tcBorders>
              <w:top w:val="nil"/>
              <w:left w:val="nil"/>
              <w:bottom w:val="nil"/>
              <w:right w:val="nil"/>
            </w:tcBorders>
            <w:shd w:val="clear" w:color="auto" w:fill="auto"/>
            <w:noWrap/>
            <w:vAlign w:val="center"/>
            <w:hideMark/>
          </w:tcPr>
          <w:p w14:paraId="37D467A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960" w:type="dxa"/>
            <w:tcBorders>
              <w:top w:val="nil"/>
              <w:left w:val="nil"/>
              <w:bottom w:val="nil"/>
              <w:right w:val="nil"/>
            </w:tcBorders>
            <w:shd w:val="clear" w:color="auto" w:fill="auto"/>
            <w:noWrap/>
            <w:vAlign w:val="center"/>
            <w:hideMark/>
          </w:tcPr>
          <w:p w14:paraId="6A99DEB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960" w:type="dxa"/>
            <w:tcBorders>
              <w:top w:val="nil"/>
              <w:left w:val="nil"/>
              <w:bottom w:val="nil"/>
              <w:right w:val="nil"/>
            </w:tcBorders>
            <w:shd w:val="clear" w:color="auto" w:fill="auto"/>
            <w:noWrap/>
            <w:vAlign w:val="center"/>
            <w:hideMark/>
          </w:tcPr>
          <w:p w14:paraId="2C02ED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960" w:type="dxa"/>
            <w:tcBorders>
              <w:top w:val="nil"/>
              <w:left w:val="nil"/>
              <w:bottom w:val="nil"/>
              <w:right w:val="nil"/>
            </w:tcBorders>
            <w:shd w:val="clear" w:color="auto" w:fill="auto"/>
            <w:noWrap/>
            <w:vAlign w:val="center"/>
            <w:hideMark/>
          </w:tcPr>
          <w:p w14:paraId="07689B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095" w:type="dxa"/>
            <w:tcBorders>
              <w:top w:val="nil"/>
              <w:left w:val="nil"/>
              <w:bottom w:val="nil"/>
              <w:right w:val="nil"/>
            </w:tcBorders>
            <w:shd w:val="clear" w:color="auto" w:fill="auto"/>
            <w:noWrap/>
            <w:vAlign w:val="center"/>
            <w:hideMark/>
          </w:tcPr>
          <w:p w14:paraId="5312E393"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4C655F56"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2E05E383"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960" w:type="dxa"/>
            <w:tcBorders>
              <w:top w:val="nil"/>
              <w:left w:val="nil"/>
              <w:bottom w:val="nil"/>
              <w:right w:val="nil"/>
            </w:tcBorders>
            <w:shd w:val="clear" w:color="auto" w:fill="auto"/>
            <w:noWrap/>
            <w:vAlign w:val="center"/>
            <w:hideMark/>
          </w:tcPr>
          <w:p w14:paraId="32F5F77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960" w:type="dxa"/>
            <w:tcBorders>
              <w:top w:val="nil"/>
              <w:left w:val="nil"/>
              <w:bottom w:val="nil"/>
              <w:right w:val="nil"/>
            </w:tcBorders>
            <w:shd w:val="clear" w:color="auto" w:fill="auto"/>
            <w:noWrap/>
            <w:vAlign w:val="center"/>
            <w:hideMark/>
          </w:tcPr>
          <w:p w14:paraId="2122CE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960" w:type="dxa"/>
            <w:tcBorders>
              <w:top w:val="nil"/>
              <w:left w:val="nil"/>
              <w:bottom w:val="nil"/>
              <w:right w:val="nil"/>
            </w:tcBorders>
            <w:shd w:val="clear" w:color="auto" w:fill="auto"/>
            <w:noWrap/>
            <w:vAlign w:val="center"/>
            <w:hideMark/>
          </w:tcPr>
          <w:p w14:paraId="4F6AD1E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960" w:type="dxa"/>
            <w:tcBorders>
              <w:top w:val="nil"/>
              <w:left w:val="nil"/>
              <w:bottom w:val="nil"/>
              <w:right w:val="nil"/>
            </w:tcBorders>
            <w:shd w:val="clear" w:color="auto" w:fill="auto"/>
            <w:noWrap/>
            <w:vAlign w:val="center"/>
            <w:hideMark/>
          </w:tcPr>
          <w:p w14:paraId="5003E5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960" w:type="dxa"/>
            <w:tcBorders>
              <w:top w:val="nil"/>
              <w:left w:val="nil"/>
              <w:bottom w:val="nil"/>
              <w:right w:val="nil"/>
            </w:tcBorders>
            <w:shd w:val="clear" w:color="auto" w:fill="auto"/>
            <w:noWrap/>
            <w:vAlign w:val="center"/>
            <w:hideMark/>
          </w:tcPr>
          <w:p w14:paraId="4081DA3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095" w:type="dxa"/>
            <w:tcBorders>
              <w:top w:val="nil"/>
              <w:left w:val="nil"/>
              <w:bottom w:val="nil"/>
              <w:right w:val="nil"/>
            </w:tcBorders>
            <w:shd w:val="clear" w:color="auto" w:fill="auto"/>
            <w:noWrap/>
            <w:vAlign w:val="center"/>
            <w:hideMark/>
          </w:tcPr>
          <w:p w14:paraId="509DAF9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78E0750F"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8074446"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960" w:type="dxa"/>
            <w:tcBorders>
              <w:top w:val="nil"/>
              <w:left w:val="nil"/>
              <w:bottom w:val="nil"/>
              <w:right w:val="nil"/>
            </w:tcBorders>
            <w:shd w:val="clear" w:color="auto" w:fill="auto"/>
            <w:noWrap/>
            <w:vAlign w:val="center"/>
            <w:hideMark/>
          </w:tcPr>
          <w:p w14:paraId="79D3300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35E788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0E626F7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960" w:type="dxa"/>
            <w:tcBorders>
              <w:top w:val="nil"/>
              <w:left w:val="nil"/>
              <w:bottom w:val="nil"/>
              <w:right w:val="nil"/>
            </w:tcBorders>
            <w:shd w:val="clear" w:color="auto" w:fill="auto"/>
            <w:noWrap/>
            <w:vAlign w:val="center"/>
            <w:hideMark/>
          </w:tcPr>
          <w:p w14:paraId="715A0F6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960" w:type="dxa"/>
            <w:tcBorders>
              <w:top w:val="nil"/>
              <w:left w:val="nil"/>
              <w:bottom w:val="nil"/>
              <w:right w:val="nil"/>
            </w:tcBorders>
            <w:shd w:val="clear" w:color="auto" w:fill="auto"/>
            <w:noWrap/>
            <w:vAlign w:val="center"/>
            <w:hideMark/>
          </w:tcPr>
          <w:p w14:paraId="270CC11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095" w:type="dxa"/>
            <w:tcBorders>
              <w:top w:val="nil"/>
              <w:left w:val="nil"/>
              <w:bottom w:val="nil"/>
              <w:right w:val="nil"/>
            </w:tcBorders>
            <w:shd w:val="clear" w:color="auto" w:fill="auto"/>
            <w:noWrap/>
            <w:vAlign w:val="center"/>
            <w:hideMark/>
          </w:tcPr>
          <w:p w14:paraId="2F58B33A"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6C347F3"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5F7BB1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LIQ</w:t>
            </w:r>
          </w:p>
        </w:tc>
        <w:tc>
          <w:tcPr>
            <w:tcW w:w="960" w:type="dxa"/>
            <w:tcBorders>
              <w:top w:val="nil"/>
              <w:left w:val="nil"/>
              <w:bottom w:val="nil"/>
              <w:right w:val="nil"/>
            </w:tcBorders>
            <w:shd w:val="clear" w:color="auto" w:fill="auto"/>
            <w:noWrap/>
            <w:vAlign w:val="center"/>
            <w:hideMark/>
          </w:tcPr>
          <w:p w14:paraId="1BD1E1F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5DD75EF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960" w:type="dxa"/>
            <w:tcBorders>
              <w:top w:val="nil"/>
              <w:left w:val="nil"/>
              <w:bottom w:val="nil"/>
              <w:right w:val="nil"/>
            </w:tcBorders>
            <w:shd w:val="clear" w:color="auto" w:fill="auto"/>
            <w:noWrap/>
            <w:vAlign w:val="center"/>
            <w:hideMark/>
          </w:tcPr>
          <w:p w14:paraId="2A62B1C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2749D6F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960" w:type="dxa"/>
            <w:tcBorders>
              <w:top w:val="nil"/>
              <w:left w:val="nil"/>
              <w:bottom w:val="nil"/>
              <w:right w:val="nil"/>
            </w:tcBorders>
            <w:shd w:val="clear" w:color="auto" w:fill="auto"/>
            <w:noWrap/>
            <w:vAlign w:val="center"/>
            <w:hideMark/>
          </w:tcPr>
          <w:p w14:paraId="56C773E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095" w:type="dxa"/>
            <w:tcBorders>
              <w:top w:val="nil"/>
              <w:left w:val="nil"/>
              <w:bottom w:val="nil"/>
              <w:right w:val="nil"/>
            </w:tcBorders>
            <w:shd w:val="clear" w:color="auto" w:fill="auto"/>
            <w:noWrap/>
            <w:vAlign w:val="center"/>
            <w:hideMark/>
          </w:tcPr>
          <w:p w14:paraId="3CB64008"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ED6B7B5" w14:textId="77777777" w:rsidTr="00A03C33">
        <w:trPr>
          <w:trHeight w:val="288"/>
          <w:jc w:val="center"/>
        </w:trPr>
        <w:tc>
          <w:tcPr>
            <w:tcW w:w="960" w:type="dxa"/>
            <w:tcBorders>
              <w:top w:val="nil"/>
              <w:left w:val="nil"/>
              <w:bottom w:val="single" w:sz="4" w:space="0" w:color="auto"/>
              <w:right w:val="nil"/>
            </w:tcBorders>
            <w:shd w:val="clear" w:color="auto" w:fill="auto"/>
            <w:noWrap/>
            <w:vAlign w:val="center"/>
            <w:hideMark/>
          </w:tcPr>
          <w:p w14:paraId="7CAC155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960" w:type="dxa"/>
            <w:tcBorders>
              <w:top w:val="nil"/>
              <w:left w:val="nil"/>
              <w:bottom w:val="single" w:sz="4" w:space="0" w:color="auto"/>
              <w:right w:val="nil"/>
            </w:tcBorders>
            <w:shd w:val="clear" w:color="auto" w:fill="auto"/>
            <w:noWrap/>
            <w:vAlign w:val="center"/>
            <w:hideMark/>
          </w:tcPr>
          <w:p w14:paraId="70BB58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single" w:sz="4" w:space="0" w:color="auto"/>
              <w:right w:val="nil"/>
            </w:tcBorders>
            <w:shd w:val="clear" w:color="auto" w:fill="auto"/>
            <w:noWrap/>
            <w:vAlign w:val="center"/>
            <w:hideMark/>
          </w:tcPr>
          <w:p w14:paraId="5E4BE66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960" w:type="dxa"/>
            <w:tcBorders>
              <w:top w:val="nil"/>
              <w:left w:val="nil"/>
              <w:bottom w:val="single" w:sz="4" w:space="0" w:color="auto"/>
              <w:right w:val="nil"/>
            </w:tcBorders>
            <w:shd w:val="clear" w:color="auto" w:fill="auto"/>
            <w:noWrap/>
            <w:vAlign w:val="center"/>
            <w:hideMark/>
          </w:tcPr>
          <w:p w14:paraId="20D3D7F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960" w:type="dxa"/>
            <w:tcBorders>
              <w:top w:val="nil"/>
              <w:left w:val="nil"/>
              <w:bottom w:val="single" w:sz="4" w:space="0" w:color="auto"/>
              <w:right w:val="nil"/>
            </w:tcBorders>
            <w:shd w:val="clear" w:color="auto" w:fill="auto"/>
            <w:noWrap/>
            <w:vAlign w:val="center"/>
            <w:hideMark/>
          </w:tcPr>
          <w:p w14:paraId="7A10D59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960" w:type="dxa"/>
            <w:tcBorders>
              <w:top w:val="nil"/>
              <w:left w:val="nil"/>
              <w:bottom w:val="single" w:sz="4" w:space="0" w:color="auto"/>
              <w:right w:val="nil"/>
            </w:tcBorders>
            <w:shd w:val="clear" w:color="auto" w:fill="auto"/>
            <w:noWrap/>
            <w:vAlign w:val="center"/>
            <w:hideMark/>
          </w:tcPr>
          <w:p w14:paraId="72DE67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095" w:type="dxa"/>
            <w:tcBorders>
              <w:top w:val="nil"/>
              <w:left w:val="nil"/>
              <w:bottom w:val="single" w:sz="4" w:space="0" w:color="auto"/>
              <w:right w:val="nil"/>
            </w:tcBorders>
            <w:shd w:val="clear" w:color="auto" w:fill="auto"/>
            <w:noWrap/>
            <w:vAlign w:val="center"/>
            <w:hideMark/>
          </w:tcPr>
          <w:p w14:paraId="592656A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39DFF8F4" w14:textId="792D7CE6"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77777777"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(Kennedy, 1985),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6D5D021C"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which is similar to the early findings of (Clark and Wojcik, 2005)</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Further, the institutional ownership is found to be having no significant effect on the stock return. In 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color w:val="000000" w:themeColor="text1"/>
          <w:sz w:val="20"/>
          <w:szCs w:val="24"/>
          <w:lang w:val="en-GB"/>
        </w:rPr>
        <w:t>Post-crisis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770EE3F8"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(Kennedy, 1985),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6122149" w14:textId="12706CAA" w:rsidR="004457C0" w:rsidRPr="00F2448C"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6093EBB2" w14:textId="06BC2D10" w:rsidR="00DE3873" w:rsidRPr="00F2448C"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
    <w:tbl>
      <w:tblPr>
        <w:tblW w:w="7180" w:type="dxa"/>
        <w:jc w:val="center"/>
        <w:tblLook w:val="04A0" w:firstRow="1" w:lastRow="0" w:firstColumn="1" w:lastColumn="0" w:noHBand="0" w:noVBand="1"/>
      </w:tblPr>
      <w:tblGrid>
        <w:gridCol w:w="2500"/>
        <w:gridCol w:w="1560"/>
        <w:gridCol w:w="1560"/>
        <w:gridCol w:w="1560"/>
      </w:tblGrid>
      <w:tr w:rsidR="00DE3873" w:rsidRPr="00F2448C" w14:paraId="52D7D6CD" w14:textId="77777777" w:rsidTr="00DE3873">
        <w:trPr>
          <w:trHeight w:val="288"/>
          <w:jc w:val="center"/>
        </w:trPr>
        <w:tc>
          <w:tcPr>
            <w:tcW w:w="2500" w:type="dxa"/>
            <w:tcBorders>
              <w:top w:val="single" w:sz="4" w:space="0" w:color="auto"/>
              <w:left w:val="nil"/>
              <w:bottom w:val="nil"/>
              <w:right w:val="nil"/>
            </w:tcBorders>
            <w:shd w:val="clear" w:color="auto" w:fill="auto"/>
            <w:noWrap/>
            <w:vAlign w:val="bottom"/>
            <w:hideMark/>
          </w:tcPr>
          <w:p w14:paraId="25C6075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Models</w:t>
            </w:r>
          </w:p>
        </w:tc>
        <w:tc>
          <w:tcPr>
            <w:tcW w:w="1560" w:type="dxa"/>
            <w:tcBorders>
              <w:top w:val="single" w:sz="4" w:space="0" w:color="auto"/>
              <w:left w:val="nil"/>
              <w:bottom w:val="nil"/>
              <w:right w:val="nil"/>
            </w:tcBorders>
            <w:shd w:val="clear" w:color="auto" w:fill="auto"/>
            <w:noWrap/>
            <w:vAlign w:val="center"/>
            <w:hideMark/>
          </w:tcPr>
          <w:p w14:paraId="39159D1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Model-1</w:t>
            </w:r>
          </w:p>
        </w:tc>
        <w:tc>
          <w:tcPr>
            <w:tcW w:w="1560" w:type="dxa"/>
            <w:tcBorders>
              <w:top w:val="single" w:sz="4" w:space="0" w:color="auto"/>
              <w:left w:val="nil"/>
              <w:bottom w:val="nil"/>
              <w:right w:val="nil"/>
            </w:tcBorders>
            <w:shd w:val="clear" w:color="auto" w:fill="auto"/>
            <w:noWrap/>
            <w:vAlign w:val="center"/>
            <w:hideMark/>
          </w:tcPr>
          <w:p w14:paraId="0D37F2B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Model-2</w:t>
            </w:r>
          </w:p>
        </w:tc>
        <w:tc>
          <w:tcPr>
            <w:tcW w:w="1560" w:type="dxa"/>
            <w:tcBorders>
              <w:top w:val="single" w:sz="4" w:space="0" w:color="auto"/>
              <w:left w:val="nil"/>
              <w:bottom w:val="nil"/>
              <w:right w:val="nil"/>
            </w:tcBorders>
            <w:shd w:val="clear" w:color="auto" w:fill="auto"/>
            <w:noWrap/>
            <w:vAlign w:val="center"/>
            <w:hideMark/>
          </w:tcPr>
          <w:p w14:paraId="36681AC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Model-3</w:t>
            </w:r>
          </w:p>
        </w:tc>
      </w:tr>
      <w:tr w:rsidR="00DE3873" w:rsidRPr="00F2448C" w14:paraId="266403A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584B24"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DV</w:t>
            </w:r>
          </w:p>
        </w:tc>
        <w:tc>
          <w:tcPr>
            <w:tcW w:w="1560" w:type="dxa"/>
            <w:tcBorders>
              <w:top w:val="nil"/>
              <w:left w:val="nil"/>
              <w:bottom w:val="nil"/>
              <w:right w:val="nil"/>
            </w:tcBorders>
            <w:shd w:val="clear" w:color="auto" w:fill="auto"/>
            <w:noWrap/>
            <w:vAlign w:val="center"/>
            <w:hideMark/>
          </w:tcPr>
          <w:p w14:paraId="7F4787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762C21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1603AF2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r>
      <w:tr w:rsidR="00DE3873" w:rsidRPr="00F2448C" w14:paraId="2F8531D8"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65EBE664" w14:textId="31A921CB"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lastRenderedPageBreak/>
              <w:t>IV/</w:t>
            </w:r>
            <w:r w:rsidR="008172D4" w:rsidRPr="00F2448C">
              <w:rPr>
                <w:rFonts w:ascii="Times New Roman" w:eastAsia="Times New Roman" w:hAnsi="Times New Roman" w:cs="Times New Roman"/>
                <w:color w:val="000000"/>
                <w:lang w:val="en-GB"/>
              </w:rPr>
              <w:t>methodology</w:t>
            </w:r>
          </w:p>
        </w:tc>
        <w:tc>
          <w:tcPr>
            <w:tcW w:w="1560" w:type="dxa"/>
            <w:tcBorders>
              <w:top w:val="nil"/>
              <w:left w:val="nil"/>
              <w:bottom w:val="single" w:sz="4" w:space="0" w:color="auto"/>
              <w:right w:val="nil"/>
            </w:tcBorders>
            <w:shd w:val="clear" w:color="auto" w:fill="auto"/>
            <w:noWrap/>
            <w:vAlign w:val="center"/>
            <w:hideMark/>
          </w:tcPr>
          <w:p w14:paraId="25F27F4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630A287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17BFAE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r>
      <w:tr w:rsidR="00DE3873" w:rsidRPr="00F2448C" w14:paraId="4B4FFE4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3D5EE6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126E0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B90785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066301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30B06AD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6DAE9C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Intercept</w:t>
            </w:r>
          </w:p>
        </w:tc>
        <w:tc>
          <w:tcPr>
            <w:tcW w:w="1560" w:type="dxa"/>
            <w:tcBorders>
              <w:top w:val="nil"/>
              <w:left w:val="nil"/>
              <w:bottom w:val="nil"/>
              <w:right w:val="nil"/>
            </w:tcBorders>
            <w:shd w:val="clear" w:color="auto" w:fill="auto"/>
            <w:noWrap/>
            <w:vAlign w:val="center"/>
            <w:hideMark/>
          </w:tcPr>
          <w:p w14:paraId="27470D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5909.927</w:t>
            </w:r>
          </w:p>
        </w:tc>
        <w:tc>
          <w:tcPr>
            <w:tcW w:w="1560" w:type="dxa"/>
            <w:tcBorders>
              <w:top w:val="nil"/>
              <w:left w:val="nil"/>
              <w:bottom w:val="nil"/>
              <w:right w:val="nil"/>
            </w:tcBorders>
            <w:shd w:val="clear" w:color="auto" w:fill="auto"/>
            <w:noWrap/>
            <w:vAlign w:val="center"/>
            <w:hideMark/>
          </w:tcPr>
          <w:p w14:paraId="6BE54B6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5814.435</w:t>
            </w:r>
          </w:p>
        </w:tc>
        <w:tc>
          <w:tcPr>
            <w:tcW w:w="1560" w:type="dxa"/>
            <w:tcBorders>
              <w:top w:val="nil"/>
              <w:left w:val="nil"/>
              <w:bottom w:val="nil"/>
              <w:right w:val="nil"/>
            </w:tcBorders>
            <w:shd w:val="clear" w:color="auto" w:fill="auto"/>
            <w:noWrap/>
            <w:vAlign w:val="center"/>
            <w:hideMark/>
          </w:tcPr>
          <w:p w14:paraId="568B14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5122.33</w:t>
            </w:r>
          </w:p>
        </w:tc>
      </w:tr>
      <w:tr w:rsidR="00DE3873" w:rsidRPr="00F2448C" w14:paraId="3140459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AFFF13A"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7D63B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(4.76)***</w:t>
            </w:r>
          </w:p>
        </w:tc>
        <w:tc>
          <w:tcPr>
            <w:tcW w:w="1560" w:type="dxa"/>
            <w:tcBorders>
              <w:top w:val="nil"/>
              <w:left w:val="nil"/>
              <w:bottom w:val="nil"/>
              <w:right w:val="nil"/>
            </w:tcBorders>
            <w:shd w:val="clear" w:color="auto" w:fill="auto"/>
            <w:noWrap/>
            <w:vAlign w:val="center"/>
            <w:hideMark/>
          </w:tcPr>
          <w:p w14:paraId="00B859D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(5.44)***</w:t>
            </w:r>
          </w:p>
        </w:tc>
        <w:tc>
          <w:tcPr>
            <w:tcW w:w="1560" w:type="dxa"/>
            <w:tcBorders>
              <w:top w:val="nil"/>
              <w:left w:val="nil"/>
              <w:bottom w:val="nil"/>
              <w:right w:val="nil"/>
            </w:tcBorders>
            <w:shd w:val="clear" w:color="auto" w:fill="auto"/>
            <w:noWrap/>
            <w:vAlign w:val="center"/>
            <w:hideMark/>
          </w:tcPr>
          <w:p w14:paraId="3B5B1B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(3.11)***</w:t>
            </w:r>
          </w:p>
        </w:tc>
      </w:tr>
      <w:tr w:rsidR="00DE3873" w:rsidRPr="00F2448C" w14:paraId="54C9121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9B962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OC1</w:t>
            </w:r>
          </w:p>
        </w:tc>
        <w:tc>
          <w:tcPr>
            <w:tcW w:w="1560" w:type="dxa"/>
            <w:tcBorders>
              <w:top w:val="nil"/>
              <w:left w:val="nil"/>
              <w:bottom w:val="nil"/>
              <w:right w:val="nil"/>
            </w:tcBorders>
            <w:shd w:val="clear" w:color="auto" w:fill="auto"/>
            <w:noWrap/>
            <w:vAlign w:val="center"/>
            <w:hideMark/>
          </w:tcPr>
          <w:p w14:paraId="27FA3E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-1350.87</w:t>
            </w:r>
          </w:p>
        </w:tc>
        <w:tc>
          <w:tcPr>
            <w:tcW w:w="1560" w:type="dxa"/>
            <w:tcBorders>
              <w:top w:val="nil"/>
              <w:left w:val="nil"/>
              <w:bottom w:val="nil"/>
              <w:right w:val="nil"/>
            </w:tcBorders>
            <w:shd w:val="clear" w:color="auto" w:fill="auto"/>
            <w:noWrap/>
            <w:vAlign w:val="center"/>
            <w:hideMark/>
          </w:tcPr>
          <w:p w14:paraId="464683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A37411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02B3433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0C86E39"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439676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(-1.00)</w:t>
            </w:r>
          </w:p>
        </w:tc>
        <w:tc>
          <w:tcPr>
            <w:tcW w:w="1560" w:type="dxa"/>
            <w:tcBorders>
              <w:top w:val="nil"/>
              <w:left w:val="nil"/>
              <w:bottom w:val="nil"/>
              <w:right w:val="nil"/>
            </w:tcBorders>
            <w:shd w:val="clear" w:color="auto" w:fill="auto"/>
            <w:noWrap/>
            <w:vAlign w:val="center"/>
            <w:hideMark/>
          </w:tcPr>
          <w:p w14:paraId="0941E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07925F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60A43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264277"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OC5</w:t>
            </w:r>
          </w:p>
        </w:tc>
        <w:tc>
          <w:tcPr>
            <w:tcW w:w="1560" w:type="dxa"/>
            <w:tcBorders>
              <w:top w:val="nil"/>
              <w:left w:val="nil"/>
              <w:bottom w:val="nil"/>
              <w:right w:val="nil"/>
            </w:tcBorders>
            <w:shd w:val="clear" w:color="auto" w:fill="auto"/>
            <w:noWrap/>
            <w:vAlign w:val="center"/>
            <w:hideMark/>
          </w:tcPr>
          <w:p w14:paraId="00D08C8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BABD17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-503.13</w:t>
            </w:r>
          </w:p>
        </w:tc>
        <w:tc>
          <w:tcPr>
            <w:tcW w:w="1560" w:type="dxa"/>
            <w:tcBorders>
              <w:top w:val="nil"/>
              <w:left w:val="nil"/>
              <w:bottom w:val="nil"/>
              <w:right w:val="nil"/>
            </w:tcBorders>
            <w:shd w:val="clear" w:color="auto" w:fill="auto"/>
            <w:noWrap/>
            <w:vAlign w:val="center"/>
            <w:hideMark/>
          </w:tcPr>
          <w:p w14:paraId="699075F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7BD6A3D9"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D0074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1B3AED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5485B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(-0.59)</w:t>
            </w:r>
          </w:p>
        </w:tc>
        <w:tc>
          <w:tcPr>
            <w:tcW w:w="1560" w:type="dxa"/>
            <w:tcBorders>
              <w:top w:val="nil"/>
              <w:left w:val="nil"/>
              <w:bottom w:val="nil"/>
              <w:right w:val="nil"/>
            </w:tcBorders>
            <w:shd w:val="clear" w:color="auto" w:fill="auto"/>
            <w:noWrap/>
            <w:vAlign w:val="center"/>
            <w:hideMark/>
          </w:tcPr>
          <w:p w14:paraId="13E965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4B63A9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458ACE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IO</w:t>
            </w:r>
          </w:p>
        </w:tc>
        <w:tc>
          <w:tcPr>
            <w:tcW w:w="1560" w:type="dxa"/>
            <w:tcBorders>
              <w:top w:val="nil"/>
              <w:left w:val="nil"/>
              <w:bottom w:val="nil"/>
              <w:right w:val="nil"/>
            </w:tcBorders>
            <w:shd w:val="clear" w:color="auto" w:fill="auto"/>
            <w:noWrap/>
            <w:vAlign w:val="center"/>
            <w:hideMark/>
          </w:tcPr>
          <w:p w14:paraId="08EDD12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67D26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A4CF09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-864.821</w:t>
            </w:r>
          </w:p>
        </w:tc>
      </w:tr>
      <w:tr w:rsidR="00DE3873" w:rsidRPr="00F2448C" w14:paraId="6137B7C2"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F301CF"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E99303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5DAF1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B78B7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(-1.69)*</w:t>
            </w:r>
          </w:p>
        </w:tc>
      </w:tr>
      <w:tr w:rsidR="00DE3873" w:rsidRPr="00F2448C" w14:paraId="2077D16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1916CB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FS</w:t>
            </w:r>
          </w:p>
        </w:tc>
        <w:tc>
          <w:tcPr>
            <w:tcW w:w="1560" w:type="dxa"/>
            <w:tcBorders>
              <w:top w:val="nil"/>
              <w:left w:val="nil"/>
              <w:bottom w:val="nil"/>
              <w:right w:val="nil"/>
            </w:tcBorders>
            <w:shd w:val="clear" w:color="auto" w:fill="auto"/>
            <w:noWrap/>
            <w:vAlign w:val="center"/>
            <w:hideMark/>
          </w:tcPr>
          <w:p w14:paraId="330456C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-10.854</w:t>
            </w:r>
          </w:p>
        </w:tc>
        <w:tc>
          <w:tcPr>
            <w:tcW w:w="1560" w:type="dxa"/>
            <w:tcBorders>
              <w:top w:val="nil"/>
              <w:left w:val="nil"/>
              <w:bottom w:val="nil"/>
              <w:right w:val="nil"/>
            </w:tcBorders>
            <w:shd w:val="clear" w:color="auto" w:fill="auto"/>
            <w:noWrap/>
            <w:vAlign w:val="center"/>
            <w:hideMark/>
          </w:tcPr>
          <w:p w14:paraId="4882409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-9.643</w:t>
            </w:r>
          </w:p>
        </w:tc>
        <w:tc>
          <w:tcPr>
            <w:tcW w:w="1560" w:type="dxa"/>
            <w:tcBorders>
              <w:top w:val="nil"/>
              <w:left w:val="nil"/>
              <w:bottom w:val="nil"/>
              <w:right w:val="nil"/>
            </w:tcBorders>
            <w:shd w:val="clear" w:color="auto" w:fill="auto"/>
            <w:noWrap/>
            <w:vAlign w:val="center"/>
            <w:hideMark/>
          </w:tcPr>
          <w:p w14:paraId="47F516C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-7.936</w:t>
            </w:r>
          </w:p>
        </w:tc>
      </w:tr>
      <w:tr w:rsidR="00DE3873" w:rsidRPr="00F2448C" w14:paraId="43826175"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FA8E84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DE2FA4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(-1.04)</w:t>
            </w:r>
          </w:p>
        </w:tc>
        <w:tc>
          <w:tcPr>
            <w:tcW w:w="1560" w:type="dxa"/>
            <w:tcBorders>
              <w:top w:val="nil"/>
              <w:left w:val="nil"/>
              <w:bottom w:val="nil"/>
              <w:right w:val="nil"/>
            </w:tcBorders>
            <w:shd w:val="clear" w:color="auto" w:fill="auto"/>
            <w:noWrap/>
            <w:vAlign w:val="center"/>
            <w:hideMark/>
          </w:tcPr>
          <w:p w14:paraId="07A8488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5DF2B7C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5380882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BE19680"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FA</w:t>
            </w:r>
          </w:p>
        </w:tc>
        <w:tc>
          <w:tcPr>
            <w:tcW w:w="1560" w:type="dxa"/>
            <w:tcBorders>
              <w:top w:val="nil"/>
              <w:left w:val="nil"/>
              <w:bottom w:val="nil"/>
              <w:right w:val="nil"/>
            </w:tcBorders>
            <w:shd w:val="clear" w:color="auto" w:fill="auto"/>
            <w:noWrap/>
            <w:vAlign w:val="center"/>
            <w:hideMark/>
          </w:tcPr>
          <w:p w14:paraId="185793E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-1379.08</w:t>
            </w:r>
          </w:p>
        </w:tc>
        <w:tc>
          <w:tcPr>
            <w:tcW w:w="1560" w:type="dxa"/>
            <w:tcBorders>
              <w:top w:val="nil"/>
              <w:left w:val="nil"/>
              <w:bottom w:val="nil"/>
              <w:right w:val="nil"/>
            </w:tcBorders>
            <w:shd w:val="clear" w:color="auto" w:fill="auto"/>
            <w:noWrap/>
            <w:vAlign w:val="center"/>
            <w:hideMark/>
          </w:tcPr>
          <w:p w14:paraId="72D1D1D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-1423.45</w:t>
            </w:r>
          </w:p>
        </w:tc>
        <w:tc>
          <w:tcPr>
            <w:tcW w:w="1560" w:type="dxa"/>
            <w:tcBorders>
              <w:top w:val="nil"/>
              <w:left w:val="nil"/>
              <w:bottom w:val="nil"/>
              <w:right w:val="nil"/>
            </w:tcBorders>
            <w:shd w:val="clear" w:color="auto" w:fill="auto"/>
            <w:noWrap/>
            <w:vAlign w:val="center"/>
            <w:hideMark/>
          </w:tcPr>
          <w:p w14:paraId="766D206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-1281.962</w:t>
            </w:r>
          </w:p>
        </w:tc>
      </w:tr>
      <w:tr w:rsidR="00DE3873" w:rsidRPr="00F2448C" w14:paraId="24CA7FB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4F4025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00A394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w:t>
            </w:r>
          </w:p>
        </w:tc>
        <w:tc>
          <w:tcPr>
            <w:tcW w:w="1560" w:type="dxa"/>
            <w:tcBorders>
              <w:top w:val="nil"/>
              <w:left w:val="nil"/>
              <w:bottom w:val="nil"/>
              <w:right w:val="nil"/>
            </w:tcBorders>
            <w:shd w:val="clear" w:color="auto" w:fill="auto"/>
            <w:noWrap/>
            <w:vAlign w:val="center"/>
            <w:hideMark/>
          </w:tcPr>
          <w:p w14:paraId="4343BC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(-4.22)***</w:t>
            </w:r>
          </w:p>
        </w:tc>
        <w:tc>
          <w:tcPr>
            <w:tcW w:w="1560" w:type="dxa"/>
            <w:tcBorders>
              <w:top w:val="nil"/>
              <w:left w:val="nil"/>
              <w:bottom w:val="nil"/>
              <w:right w:val="nil"/>
            </w:tcBorders>
            <w:shd w:val="clear" w:color="auto" w:fill="auto"/>
            <w:noWrap/>
            <w:vAlign w:val="center"/>
            <w:hideMark/>
          </w:tcPr>
          <w:p w14:paraId="18B64D9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(-2.94)***</w:t>
            </w:r>
          </w:p>
        </w:tc>
      </w:tr>
      <w:tr w:rsidR="00DE3873" w:rsidRPr="00F2448C" w14:paraId="5705D16C"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792EA6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FR</w:t>
            </w:r>
          </w:p>
        </w:tc>
        <w:tc>
          <w:tcPr>
            <w:tcW w:w="1560" w:type="dxa"/>
            <w:tcBorders>
              <w:top w:val="nil"/>
              <w:left w:val="nil"/>
              <w:bottom w:val="nil"/>
              <w:right w:val="nil"/>
            </w:tcBorders>
            <w:shd w:val="clear" w:color="auto" w:fill="auto"/>
            <w:noWrap/>
            <w:vAlign w:val="center"/>
            <w:hideMark/>
          </w:tcPr>
          <w:p w14:paraId="2A3801A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-124.81</w:t>
            </w:r>
          </w:p>
        </w:tc>
        <w:tc>
          <w:tcPr>
            <w:tcW w:w="1560" w:type="dxa"/>
            <w:tcBorders>
              <w:top w:val="nil"/>
              <w:left w:val="nil"/>
              <w:bottom w:val="nil"/>
              <w:right w:val="nil"/>
            </w:tcBorders>
            <w:shd w:val="clear" w:color="auto" w:fill="auto"/>
            <w:noWrap/>
            <w:vAlign w:val="center"/>
            <w:hideMark/>
          </w:tcPr>
          <w:p w14:paraId="41A379D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-103.89</w:t>
            </w:r>
          </w:p>
        </w:tc>
        <w:tc>
          <w:tcPr>
            <w:tcW w:w="1560" w:type="dxa"/>
            <w:tcBorders>
              <w:top w:val="nil"/>
              <w:left w:val="nil"/>
              <w:bottom w:val="nil"/>
              <w:right w:val="nil"/>
            </w:tcBorders>
            <w:shd w:val="clear" w:color="auto" w:fill="auto"/>
            <w:noWrap/>
            <w:vAlign w:val="center"/>
            <w:hideMark/>
          </w:tcPr>
          <w:p w14:paraId="3787279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-84.705</w:t>
            </w:r>
          </w:p>
        </w:tc>
      </w:tr>
      <w:tr w:rsidR="00DE3873" w:rsidRPr="00F2448C" w14:paraId="6D83A8D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3FFDB8"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2F53B6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(-0.76)</w:t>
            </w:r>
          </w:p>
        </w:tc>
        <w:tc>
          <w:tcPr>
            <w:tcW w:w="1560" w:type="dxa"/>
            <w:tcBorders>
              <w:top w:val="nil"/>
              <w:left w:val="nil"/>
              <w:bottom w:val="nil"/>
              <w:right w:val="nil"/>
            </w:tcBorders>
            <w:shd w:val="clear" w:color="auto" w:fill="auto"/>
            <w:noWrap/>
            <w:vAlign w:val="center"/>
            <w:hideMark/>
          </w:tcPr>
          <w:p w14:paraId="24F3F9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(-0.68)</w:t>
            </w:r>
          </w:p>
        </w:tc>
        <w:tc>
          <w:tcPr>
            <w:tcW w:w="1560" w:type="dxa"/>
            <w:tcBorders>
              <w:top w:val="nil"/>
              <w:left w:val="nil"/>
              <w:bottom w:val="nil"/>
              <w:right w:val="nil"/>
            </w:tcBorders>
            <w:shd w:val="clear" w:color="auto" w:fill="auto"/>
            <w:noWrap/>
            <w:vAlign w:val="center"/>
            <w:hideMark/>
          </w:tcPr>
          <w:p w14:paraId="3EBCD6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(-0.70)</w:t>
            </w:r>
          </w:p>
        </w:tc>
      </w:tr>
      <w:tr w:rsidR="00DE3873" w:rsidRPr="00F2448C" w14:paraId="1C5FA65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6EF1610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FP</w:t>
            </w:r>
          </w:p>
        </w:tc>
        <w:tc>
          <w:tcPr>
            <w:tcW w:w="1560" w:type="dxa"/>
            <w:tcBorders>
              <w:top w:val="nil"/>
              <w:left w:val="nil"/>
              <w:bottom w:val="nil"/>
              <w:right w:val="nil"/>
            </w:tcBorders>
            <w:shd w:val="clear" w:color="auto" w:fill="auto"/>
            <w:noWrap/>
            <w:vAlign w:val="center"/>
            <w:hideMark/>
          </w:tcPr>
          <w:p w14:paraId="3D250FD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-5.964</w:t>
            </w:r>
          </w:p>
        </w:tc>
        <w:tc>
          <w:tcPr>
            <w:tcW w:w="1560" w:type="dxa"/>
            <w:tcBorders>
              <w:top w:val="nil"/>
              <w:left w:val="nil"/>
              <w:bottom w:val="nil"/>
              <w:right w:val="nil"/>
            </w:tcBorders>
            <w:shd w:val="clear" w:color="auto" w:fill="auto"/>
            <w:noWrap/>
            <w:vAlign w:val="center"/>
            <w:hideMark/>
          </w:tcPr>
          <w:p w14:paraId="51DE203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-5.574</w:t>
            </w:r>
          </w:p>
        </w:tc>
        <w:tc>
          <w:tcPr>
            <w:tcW w:w="1560" w:type="dxa"/>
            <w:tcBorders>
              <w:top w:val="nil"/>
              <w:left w:val="nil"/>
              <w:bottom w:val="nil"/>
              <w:right w:val="nil"/>
            </w:tcBorders>
            <w:shd w:val="clear" w:color="auto" w:fill="auto"/>
            <w:noWrap/>
            <w:vAlign w:val="center"/>
            <w:hideMark/>
          </w:tcPr>
          <w:p w14:paraId="5185FD9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-5.994</w:t>
            </w:r>
          </w:p>
        </w:tc>
      </w:tr>
      <w:tr w:rsidR="00DE3873" w:rsidRPr="00F2448C" w14:paraId="2F025BE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C7D0876"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03BA5AD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(-1.49)</w:t>
            </w:r>
          </w:p>
        </w:tc>
        <w:tc>
          <w:tcPr>
            <w:tcW w:w="1560" w:type="dxa"/>
            <w:tcBorders>
              <w:top w:val="nil"/>
              <w:left w:val="nil"/>
              <w:bottom w:val="nil"/>
              <w:right w:val="nil"/>
            </w:tcBorders>
            <w:shd w:val="clear" w:color="auto" w:fill="auto"/>
            <w:noWrap/>
            <w:vAlign w:val="center"/>
            <w:hideMark/>
          </w:tcPr>
          <w:p w14:paraId="1F3B473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(-1.56)</w:t>
            </w:r>
          </w:p>
        </w:tc>
        <w:tc>
          <w:tcPr>
            <w:tcW w:w="1560" w:type="dxa"/>
            <w:tcBorders>
              <w:top w:val="nil"/>
              <w:left w:val="nil"/>
              <w:bottom w:val="nil"/>
              <w:right w:val="nil"/>
            </w:tcBorders>
            <w:shd w:val="clear" w:color="auto" w:fill="auto"/>
            <w:noWrap/>
            <w:vAlign w:val="center"/>
            <w:hideMark/>
          </w:tcPr>
          <w:p w14:paraId="4026E3E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(-1.89)*</w:t>
            </w:r>
          </w:p>
        </w:tc>
      </w:tr>
      <w:tr w:rsidR="00DE3873" w:rsidRPr="00F2448C" w14:paraId="655B414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88D7DB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LEV</w:t>
            </w:r>
          </w:p>
        </w:tc>
        <w:tc>
          <w:tcPr>
            <w:tcW w:w="1560" w:type="dxa"/>
            <w:tcBorders>
              <w:top w:val="nil"/>
              <w:left w:val="nil"/>
              <w:bottom w:val="nil"/>
              <w:right w:val="nil"/>
            </w:tcBorders>
            <w:shd w:val="clear" w:color="auto" w:fill="auto"/>
            <w:noWrap/>
            <w:vAlign w:val="center"/>
            <w:hideMark/>
          </w:tcPr>
          <w:p w14:paraId="371CE7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-438.84</w:t>
            </w:r>
          </w:p>
        </w:tc>
        <w:tc>
          <w:tcPr>
            <w:tcW w:w="1560" w:type="dxa"/>
            <w:tcBorders>
              <w:top w:val="nil"/>
              <w:left w:val="nil"/>
              <w:bottom w:val="nil"/>
              <w:right w:val="nil"/>
            </w:tcBorders>
            <w:shd w:val="clear" w:color="auto" w:fill="auto"/>
            <w:noWrap/>
            <w:vAlign w:val="center"/>
            <w:hideMark/>
          </w:tcPr>
          <w:p w14:paraId="6AF8ECD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-452.11</w:t>
            </w:r>
          </w:p>
        </w:tc>
        <w:tc>
          <w:tcPr>
            <w:tcW w:w="1560" w:type="dxa"/>
            <w:tcBorders>
              <w:top w:val="nil"/>
              <w:left w:val="nil"/>
              <w:bottom w:val="nil"/>
              <w:right w:val="nil"/>
            </w:tcBorders>
            <w:shd w:val="clear" w:color="auto" w:fill="auto"/>
            <w:noWrap/>
            <w:vAlign w:val="center"/>
            <w:hideMark/>
          </w:tcPr>
          <w:p w14:paraId="6AA209B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-456.53</w:t>
            </w:r>
          </w:p>
        </w:tc>
      </w:tr>
      <w:tr w:rsidR="00DE3873" w:rsidRPr="00F2448C" w14:paraId="74C73A1D"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8E49A3B"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4FDCE4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(-1.70)*</w:t>
            </w:r>
          </w:p>
        </w:tc>
        <w:tc>
          <w:tcPr>
            <w:tcW w:w="1560" w:type="dxa"/>
            <w:tcBorders>
              <w:top w:val="nil"/>
              <w:left w:val="nil"/>
              <w:bottom w:val="nil"/>
              <w:right w:val="nil"/>
            </w:tcBorders>
            <w:shd w:val="clear" w:color="auto" w:fill="auto"/>
            <w:noWrap/>
            <w:vAlign w:val="center"/>
            <w:hideMark/>
          </w:tcPr>
          <w:p w14:paraId="47DF7B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(-1.84)*</w:t>
            </w:r>
          </w:p>
        </w:tc>
        <w:tc>
          <w:tcPr>
            <w:tcW w:w="1560" w:type="dxa"/>
            <w:tcBorders>
              <w:top w:val="nil"/>
              <w:left w:val="nil"/>
              <w:bottom w:val="nil"/>
              <w:right w:val="nil"/>
            </w:tcBorders>
            <w:shd w:val="clear" w:color="auto" w:fill="auto"/>
            <w:noWrap/>
            <w:vAlign w:val="center"/>
            <w:hideMark/>
          </w:tcPr>
          <w:p w14:paraId="63A2BA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(-1.64)*</w:t>
            </w:r>
          </w:p>
        </w:tc>
      </w:tr>
      <w:tr w:rsidR="00DE3873" w:rsidRPr="00F2448C" w14:paraId="2A6380A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A0D64B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CR</w:t>
            </w:r>
          </w:p>
        </w:tc>
        <w:tc>
          <w:tcPr>
            <w:tcW w:w="1560" w:type="dxa"/>
            <w:tcBorders>
              <w:top w:val="nil"/>
              <w:left w:val="nil"/>
              <w:bottom w:val="nil"/>
              <w:right w:val="nil"/>
            </w:tcBorders>
            <w:shd w:val="clear" w:color="auto" w:fill="auto"/>
            <w:noWrap/>
            <w:vAlign w:val="center"/>
            <w:hideMark/>
          </w:tcPr>
          <w:p w14:paraId="0EDEB0C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2.543</w:t>
            </w:r>
          </w:p>
        </w:tc>
        <w:tc>
          <w:tcPr>
            <w:tcW w:w="1560" w:type="dxa"/>
            <w:tcBorders>
              <w:top w:val="nil"/>
              <w:left w:val="nil"/>
              <w:bottom w:val="nil"/>
              <w:right w:val="nil"/>
            </w:tcBorders>
            <w:shd w:val="clear" w:color="auto" w:fill="auto"/>
            <w:noWrap/>
            <w:vAlign w:val="center"/>
            <w:hideMark/>
          </w:tcPr>
          <w:p w14:paraId="102FAC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3.043</w:t>
            </w:r>
          </w:p>
        </w:tc>
        <w:tc>
          <w:tcPr>
            <w:tcW w:w="1560" w:type="dxa"/>
            <w:tcBorders>
              <w:top w:val="nil"/>
              <w:left w:val="nil"/>
              <w:bottom w:val="nil"/>
              <w:right w:val="nil"/>
            </w:tcBorders>
            <w:shd w:val="clear" w:color="auto" w:fill="auto"/>
            <w:noWrap/>
            <w:vAlign w:val="center"/>
            <w:hideMark/>
          </w:tcPr>
          <w:p w14:paraId="100852F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3.392</w:t>
            </w:r>
          </w:p>
        </w:tc>
      </w:tr>
      <w:tr w:rsidR="00DE3873" w:rsidRPr="00F2448C" w14:paraId="7A9A8A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64C80D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FF73B4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4AA8F83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(1.16)</w:t>
            </w:r>
          </w:p>
        </w:tc>
        <w:tc>
          <w:tcPr>
            <w:tcW w:w="1560" w:type="dxa"/>
            <w:tcBorders>
              <w:top w:val="nil"/>
              <w:left w:val="nil"/>
              <w:bottom w:val="nil"/>
              <w:right w:val="nil"/>
            </w:tcBorders>
            <w:shd w:val="clear" w:color="auto" w:fill="auto"/>
            <w:noWrap/>
            <w:vAlign w:val="center"/>
            <w:hideMark/>
          </w:tcPr>
          <w:p w14:paraId="4F473A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398A39E4"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C3DF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DP</w:t>
            </w:r>
          </w:p>
        </w:tc>
        <w:tc>
          <w:tcPr>
            <w:tcW w:w="1560" w:type="dxa"/>
            <w:tcBorders>
              <w:top w:val="nil"/>
              <w:left w:val="nil"/>
              <w:bottom w:val="nil"/>
              <w:right w:val="nil"/>
            </w:tcBorders>
            <w:shd w:val="clear" w:color="auto" w:fill="auto"/>
            <w:noWrap/>
            <w:vAlign w:val="center"/>
            <w:hideMark/>
          </w:tcPr>
          <w:p w14:paraId="1657B7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-0.142</w:t>
            </w:r>
          </w:p>
        </w:tc>
        <w:tc>
          <w:tcPr>
            <w:tcW w:w="1560" w:type="dxa"/>
            <w:tcBorders>
              <w:top w:val="nil"/>
              <w:left w:val="nil"/>
              <w:bottom w:val="nil"/>
              <w:right w:val="nil"/>
            </w:tcBorders>
            <w:shd w:val="clear" w:color="auto" w:fill="auto"/>
            <w:noWrap/>
            <w:vAlign w:val="center"/>
            <w:hideMark/>
          </w:tcPr>
          <w:p w14:paraId="3E2A2D6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-0.025</w:t>
            </w:r>
          </w:p>
        </w:tc>
        <w:tc>
          <w:tcPr>
            <w:tcW w:w="1560" w:type="dxa"/>
            <w:tcBorders>
              <w:top w:val="nil"/>
              <w:left w:val="nil"/>
              <w:bottom w:val="nil"/>
              <w:right w:val="nil"/>
            </w:tcBorders>
            <w:shd w:val="clear" w:color="auto" w:fill="auto"/>
            <w:noWrap/>
            <w:vAlign w:val="center"/>
            <w:hideMark/>
          </w:tcPr>
          <w:p w14:paraId="731CF9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0.071</w:t>
            </w:r>
          </w:p>
        </w:tc>
      </w:tr>
      <w:tr w:rsidR="00DE3873" w:rsidRPr="00F2448C" w14:paraId="519BB38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06DBAA1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w:t>
            </w:r>
          </w:p>
        </w:tc>
        <w:tc>
          <w:tcPr>
            <w:tcW w:w="1560" w:type="dxa"/>
            <w:tcBorders>
              <w:top w:val="nil"/>
              <w:left w:val="nil"/>
              <w:bottom w:val="single" w:sz="4" w:space="0" w:color="auto"/>
              <w:right w:val="nil"/>
            </w:tcBorders>
            <w:shd w:val="clear" w:color="auto" w:fill="auto"/>
            <w:noWrap/>
            <w:vAlign w:val="center"/>
            <w:hideMark/>
          </w:tcPr>
          <w:p w14:paraId="3418C1B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(-0.23)</w:t>
            </w:r>
          </w:p>
        </w:tc>
        <w:tc>
          <w:tcPr>
            <w:tcW w:w="1560" w:type="dxa"/>
            <w:tcBorders>
              <w:top w:val="nil"/>
              <w:left w:val="nil"/>
              <w:bottom w:val="single" w:sz="4" w:space="0" w:color="auto"/>
              <w:right w:val="nil"/>
            </w:tcBorders>
            <w:shd w:val="clear" w:color="auto" w:fill="auto"/>
            <w:noWrap/>
            <w:vAlign w:val="center"/>
            <w:hideMark/>
          </w:tcPr>
          <w:p w14:paraId="34CB89E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(-0.04)</w:t>
            </w:r>
          </w:p>
        </w:tc>
        <w:tc>
          <w:tcPr>
            <w:tcW w:w="1560" w:type="dxa"/>
            <w:tcBorders>
              <w:top w:val="nil"/>
              <w:left w:val="nil"/>
              <w:bottom w:val="single" w:sz="4" w:space="0" w:color="auto"/>
              <w:right w:val="nil"/>
            </w:tcBorders>
            <w:shd w:val="clear" w:color="auto" w:fill="auto"/>
            <w:noWrap/>
            <w:vAlign w:val="center"/>
            <w:hideMark/>
          </w:tcPr>
          <w:p w14:paraId="7F7549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w:t>
            </w:r>
          </w:p>
        </w:tc>
      </w:tr>
      <w:tr w:rsidR="00DE3873" w:rsidRPr="00F2448C" w14:paraId="2F4939A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D440FD9" w14:textId="40823493"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xml:space="preserve">Wald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 xml:space="preserve"> test</w:t>
            </w:r>
          </w:p>
        </w:tc>
        <w:tc>
          <w:tcPr>
            <w:tcW w:w="1560" w:type="dxa"/>
            <w:tcBorders>
              <w:top w:val="nil"/>
              <w:left w:val="nil"/>
              <w:bottom w:val="nil"/>
              <w:right w:val="nil"/>
            </w:tcBorders>
            <w:shd w:val="clear" w:color="auto" w:fill="auto"/>
            <w:noWrap/>
            <w:vAlign w:val="center"/>
            <w:hideMark/>
          </w:tcPr>
          <w:p w14:paraId="1720D9B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42.86***</w:t>
            </w:r>
          </w:p>
        </w:tc>
        <w:tc>
          <w:tcPr>
            <w:tcW w:w="1560" w:type="dxa"/>
            <w:tcBorders>
              <w:top w:val="nil"/>
              <w:left w:val="nil"/>
              <w:bottom w:val="nil"/>
              <w:right w:val="nil"/>
            </w:tcBorders>
            <w:shd w:val="clear" w:color="auto" w:fill="auto"/>
            <w:noWrap/>
            <w:vAlign w:val="center"/>
            <w:hideMark/>
          </w:tcPr>
          <w:p w14:paraId="624C175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43.20***</w:t>
            </w:r>
          </w:p>
        </w:tc>
        <w:tc>
          <w:tcPr>
            <w:tcW w:w="1560" w:type="dxa"/>
            <w:tcBorders>
              <w:top w:val="nil"/>
              <w:left w:val="nil"/>
              <w:bottom w:val="nil"/>
              <w:right w:val="nil"/>
            </w:tcBorders>
            <w:shd w:val="clear" w:color="auto" w:fill="auto"/>
            <w:noWrap/>
            <w:vAlign w:val="center"/>
            <w:hideMark/>
          </w:tcPr>
          <w:p w14:paraId="1C276B3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43.86***</w:t>
            </w:r>
          </w:p>
        </w:tc>
      </w:tr>
      <w:tr w:rsidR="00DE3873" w:rsidRPr="00F2448C" w14:paraId="1237CDF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735B49B"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AR(1)-p value</w:t>
            </w:r>
          </w:p>
        </w:tc>
        <w:tc>
          <w:tcPr>
            <w:tcW w:w="1560" w:type="dxa"/>
            <w:tcBorders>
              <w:top w:val="nil"/>
              <w:left w:val="nil"/>
              <w:bottom w:val="nil"/>
              <w:right w:val="nil"/>
            </w:tcBorders>
            <w:shd w:val="clear" w:color="auto" w:fill="auto"/>
            <w:noWrap/>
            <w:vAlign w:val="center"/>
            <w:hideMark/>
          </w:tcPr>
          <w:p w14:paraId="525E58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0.000</w:t>
            </w:r>
          </w:p>
        </w:tc>
        <w:tc>
          <w:tcPr>
            <w:tcW w:w="1560" w:type="dxa"/>
            <w:tcBorders>
              <w:top w:val="nil"/>
              <w:left w:val="nil"/>
              <w:bottom w:val="nil"/>
              <w:right w:val="nil"/>
            </w:tcBorders>
            <w:shd w:val="clear" w:color="auto" w:fill="auto"/>
            <w:noWrap/>
            <w:vAlign w:val="center"/>
            <w:hideMark/>
          </w:tcPr>
          <w:p w14:paraId="086B92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0.001</w:t>
            </w:r>
          </w:p>
        </w:tc>
        <w:tc>
          <w:tcPr>
            <w:tcW w:w="1560" w:type="dxa"/>
            <w:tcBorders>
              <w:top w:val="nil"/>
              <w:left w:val="nil"/>
              <w:bottom w:val="nil"/>
              <w:right w:val="nil"/>
            </w:tcBorders>
            <w:shd w:val="clear" w:color="auto" w:fill="auto"/>
            <w:noWrap/>
            <w:vAlign w:val="center"/>
            <w:hideMark/>
          </w:tcPr>
          <w:p w14:paraId="21E2BB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0.005</w:t>
            </w:r>
          </w:p>
        </w:tc>
      </w:tr>
      <w:tr w:rsidR="00DE3873" w:rsidRPr="00F2448C" w14:paraId="48E676B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1E54C8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AR(2)-p value</w:t>
            </w:r>
          </w:p>
        </w:tc>
        <w:tc>
          <w:tcPr>
            <w:tcW w:w="1560" w:type="dxa"/>
            <w:tcBorders>
              <w:top w:val="nil"/>
              <w:left w:val="nil"/>
              <w:bottom w:val="nil"/>
              <w:right w:val="nil"/>
            </w:tcBorders>
            <w:shd w:val="clear" w:color="auto" w:fill="auto"/>
            <w:noWrap/>
            <w:vAlign w:val="center"/>
            <w:hideMark/>
          </w:tcPr>
          <w:p w14:paraId="54B5C20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0.328</w:t>
            </w:r>
          </w:p>
        </w:tc>
        <w:tc>
          <w:tcPr>
            <w:tcW w:w="1560" w:type="dxa"/>
            <w:tcBorders>
              <w:top w:val="nil"/>
              <w:left w:val="nil"/>
              <w:bottom w:val="nil"/>
              <w:right w:val="nil"/>
            </w:tcBorders>
            <w:shd w:val="clear" w:color="auto" w:fill="auto"/>
            <w:noWrap/>
            <w:vAlign w:val="center"/>
            <w:hideMark/>
          </w:tcPr>
          <w:p w14:paraId="5BE1E22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0.335</w:t>
            </w:r>
          </w:p>
        </w:tc>
        <w:tc>
          <w:tcPr>
            <w:tcW w:w="1560" w:type="dxa"/>
            <w:tcBorders>
              <w:top w:val="nil"/>
              <w:left w:val="nil"/>
              <w:bottom w:val="nil"/>
              <w:right w:val="nil"/>
            </w:tcBorders>
            <w:shd w:val="clear" w:color="auto" w:fill="auto"/>
            <w:noWrap/>
            <w:vAlign w:val="center"/>
            <w:hideMark/>
          </w:tcPr>
          <w:p w14:paraId="03AE1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0.324</w:t>
            </w:r>
          </w:p>
        </w:tc>
      </w:tr>
      <w:tr w:rsidR="00DE3873" w:rsidRPr="00F2448C" w14:paraId="431BB1A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C664924" w14:textId="5E27BE59" w:rsidR="00DE3873" w:rsidRPr="00F2448C" w:rsidRDefault="00DE3873" w:rsidP="0008434D">
            <w:pPr>
              <w:spacing w:after="0" w:line="240" w:lineRule="auto"/>
              <w:rPr>
                <w:rFonts w:ascii="Times New Roman" w:eastAsia="Times New Roman" w:hAnsi="Times New Roman" w:cs="Times New Roman"/>
                <w:color w:val="000000"/>
                <w:lang w:val="en-GB"/>
              </w:rPr>
            </w:pPr>
            <w:proofErr w:type="spellStart"/>
            <w:r w:rsidRPr="00F2448C">
              <w:rPr>
                <w:rFonts w:ascii="Times New Roman" w:eastAsia="Times New Roman" w:hAnsi="Times New Roman" w:cs="Times New Roman"/>
                <w:color w:val="000000"/>
                <w:lang w:val="en-GB"/>
              </w:rPr>
              <w:t>Sargan</w:t>
            </w:r>
            <w:proofErr w:type="spellEnd"/>
            <w:r w:rsidRPr="00F2448C">
              <w:rPr>
                <w:rFonts w:ascii="Times New Roman" w:eastAsia="Times New Roman" w:hAnsi="Times New Roman" w:cs="Times New Roman"/>
                <w:color w:val="000000"/>
                <w:lang w:val="en-GB"/>
              </w:rPr>
              <w:t xml:space="preserve"> test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value)</w:t>
            </w:r>
          </w:p>
        </w:tc>
        <w:tc>
          <w:tcPr>
            <w:tcW w:w="1560" w:type="dxa"/>
            <w:tcBorders>
              <w:top w:val="nil"/>
              <w:left w:val="nil"/>
              <w:bottom w:val="nil"/>
              <w:right w:val="nil"/>
            </w:tcBorders>
            <w:shd w:val="clear" w:color="auto" w:fill="auto"/>
            <w:noWrap/>
            <w:vAlign w:val="center"/>
            <w:hideMark/>
          </w:tcPr>
          <w:p w14:paraId="0B10B6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22.651</w:t>
            </w:r>
          </w:p>
        </w:tc>
        <w:tc>
          <w:tcPr>
            <w:tcW w:w="1560" w:type="dxa"/>
            <w:tcBorders>
              <w:top w:val="nil"/>
              <w:left w:val="nil"/>
              <w:bottom w:val="nil"/>
              <w:right w:val="nil"/>
            </w:tcBorders>
            <w:shd w:val="clear" w:color="auto" w:fill="auto"/>
            <w:noWrap/>
            <w:vAlign w:val="center"/>
            <w:hideMark/>
          </w:tcPr>
          <w:p w14:paraId="1B2517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23.149</w:t>
            </w:r>
          </w:p>
        </w:tc>
        <w:tc>
          <w:tcPr>
            <w:tcW w:w="1560" w:type="dxa"/>
            <w:tcBorders>
              <w:top w:val="nil"/>
              <w:left w:val="nil"/>
              <w:bottom w:val="nil"/>
              <w:right w:val="nil"/>
            </w:tcBorders>
            <w:shd w:val="clear" w:color="auto" w:fill="auto"/>
            <w:noWrap/>
            <w:vAlign w:val="center"/>
            <w:hideMark/>
          </w:tcPr>
          <w:p w14:paraId="7915599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26.327</w:t>
            </w:r>
          </w:p>
        </w:tc>
      </w:tr>
      <w:tr w:rsidR="00DE3873" w:rsidRPr="00F2448C" w14:paraId="0618E9D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187C2B5E"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P value</w:t>
            </w:r>
          </w:p>
        </w:tc>
        <w:tc>
          <w:tcPr>
            <w:tcW w:w="1560" w:type="dxa"/>
            <w:tcBorders>
              <w:top w:val="nil"/>
              <w:left w:val="nil"/>
              <w:bottom w:val="single" w:sz="4" w:space="0" w:color="auto"/>
              <w:right w:val="nil"/>
            </w:tcBorders>
            <w:shd w:val="clear" w:color="auto" w:fill="auto"/>
            <w:noWrap/>
            <w:vAlign w:val="center"/>
            <w:hideMark/>
          </w:tcPr>
          <w:p w14:paraId="6E986F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0.141</w:t>
            </w:r>
          </w:p>
        </w:tc>
        <w:tc>
          <w:tcPr>
            <w:tcW w:w="1560" w:type="dxa"/>
            <w:tcBorders>
              <w:top w:val="nil"/>
              <w:left w:val="nil"/>
              <w:bottom w:val="single" w:sz="4" w:space="0" w:color="auto"/>
              <w:right w:val="nil"/>
            </w:tcBorders>
            <w:shd w:val="clear" w:color="auto" w:fill="auto"/>
            <w:noWrap/>
            <w:vAlign w:val="center"/>
            <w:hideMark/>
          </w:tcPr>
          <w:p w14:paraId="6903A78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0.138</w:t>
            </w:r>
          </w:p>
        </w:tc>
        <w:tc>
          <w:tcPr>
            <w:tcW w:w="1560" w:type="dxa"/>
            <w:tcBorders>
              <w:top w:val="nil"/>
              <w:left w:val="nil"/>
              <w:bottom w:val="single" w:sz="4" w:space="0" w:color="auto"/>
              <w:right w:val="nil"/>
            </w:tcBorders>
            <w:shd w:val="clear" w:color="auto" w:fill="auto"/>
            <w:noWrap/>
            <w:vAlign w:val="center"/>
            <w:hideMark/>
          </w:tcPr>
          <w:p w14:paraId="4C3E1E3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0.121</w:t>
            </w:r>
          </w:p>
        </w:tc>
      </w:tr>
    </w:tbl>
    <w:p w14:paraId="04D06F46" w14:textId="77777777" w:rsidR="004457C0" w:rsidRPr="00F2448C"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r w:rsidRPr="00F2448C">
        <w:rPr>
          <w:rFonts w:ascii="Times New Roman" w:hAnsi="Times New Roman" w:cs="Times New Roman"/>
          <w:i/>
          <w:iCs/>
          <w:color w:val="000000"/>
          <w:szCs w:val="19"/>
          <w:lang w:val="en-GB"/>
        </w:rPr>
        <w:t>(Source: Author’s compilation)</w:t>
      </w:r>
      <w:r w:rsidR="00C07CA3" w:rsidRPr="00F2448C">
        <w:rPr>
          <w:rFonts w:ascii="Times New Roman" w:eastAsia="Times New Roman" w:hAnsi="Times New Roman" w:cs="Times New Roman"/>
          <w:i/>
          <w:iCs/>
          <w:color w:val="000000" w:themeColor="text1"/>
          <w:sz w:val="20"/>
          <w:szCs w:val="24"/>
          <w:lang w:val="en-GB"/>
        </w:rPr>
        <w:t>Note: DV and IV represent the dependent and independent variables respectively.</w:t>
      </w:r>
    </w:p>
    <w:p w14:paraId="4B497572" w14:textId="5DA1229C"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similar to the earlier findings of </w:t>
      </w:r>
      <w:r w:rsidR="003F36C9" w:rsidRPr="00F2448C">
        <w:rPr>
          <w:rFonts w:ascii="Times New Roman" w:eastAsia="Times New Roman" w:hAnsi="Times New Roman" w:cs="Times New Roman"/>
          <w:sz w:val="20"/>
          <w:lang w:val="en-GB" w:eastAsia="en-IN"/>
        </w:rPr>
        <w:t xml:space="preserve">Cella (2009).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 xml:space="preserve">economy, it can be said that concentrated ownership proves to be detrimental. There is no institutional effect during pre-crisis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77777777"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lastRenderedPageBreak/>
        <w:t xml:space="preserve">&lt;H1&gt; </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48D3B24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Brockman, P., French, D. and Tamm, C. (2014).</w:t>
      </w:r>
      <w:r w:rsidR="004C6B3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REIT organizational structure, institutional ownership, and stock performance.</w:t>
      </w:r>
      <w:r w:rsidR="00F1766D" w:rsidRPr="00F2448C">
        <w:rPr>
          <w:rFonts w:ascii="Times New Roman" w:hAnsi="Times New Roman" w:cs="Times New Roman"/>
          <w:sz w:val="20"/>
          <w:lang w:val="en-GB"/>
        </w:rPr>
        <w:t xml:space="preserve"> </w:t>
      </w:r>
      <w:r w:rsidR="00F1766D" w:rsidRPr="00F2448C">
        <w:rPr>
          <w:rFonts w:ascii="Times New Roman" w:hAnsi="Times New Roman" w:cs="Times New Roman"/>
          <w:iCs/>
          <w:sz w:val="20"/>
          <w:lang w:val="en-GB"/>
        </w:rPr>
        <w:t xml:space="preserve">J. Real Estate </w:t>
      </w:r>
      <w:proofErr w:type="spellStart"/>
      <w:r w:rsidR="00F1766D" w:rsidRPr="00F2448C">
        <w:rPr>
          <w:rFonts w:ascii="Times New Roman" w:hAnsi="Times New Roman" w:cs="Times New Roman"/>
          <w:iCs/>
          <w:sz w:val="20"/>
          <w:lang w:val="en-GB"/>
        </w:rPr>
        <w:t>Portf</w:t>
      </w:r>
      <w:proofErr w:type="spellEnd"/>
      <w:r w:rsidR="00F1766D" w:rsidRPr="00F2448C">
        <w:rPr>
          <w:rFonts w:ascii="Times New Roman" w:hAnsi="Times New Roman" w:cs="Times New Roman"/>
          <w:iCs/>
          <w:sz w:val="20"/>
          <w:lang w:val="en-GB"/>
        </w:rPr>
        <w:t>. Manag.</w:t>
      </w:r>
      <w:r w:rsidR="00F1766D"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F1766D" w:rsidRPr="00F2448C">
        <w:rPr>
          <w:rFonts w:ascii="Times New Roman" w:hAnsi="Times New Roman" w:cs="Times New Roman"/>
          <w:sz w:val="20"/>
          <w:lang w:val="en-GB"/>
        </w:rPr>
        <w:t>:</w:t>
      </w:r>
      <w:r w:rsidRPr="00F2448C">
        <w:rPr>
          <w:rFonts w:ascii="Times New Roman" w:hAnsi="Times New Roman" w:cs="Times New Roman"/>
          <w:sz w:val="20"/>
          <w:lang w:val="en-GB"/>
        </w:rPr>
        <w:t>21</w:t>
      </w:r>
      <w:r w:rsidR="00F1766D" w:rsidRPr="00F2448C">
        <w:rPr>
          <w:rFonts w:ascii="Times New Roman" w:hAnsi="Times New Roman" w:cs="Times New Roman"/>
          <w:sz w:val="20"/>
          <w:lang w:val="en-GB"/>
        </w:rPr>
        <w:noBreakHyphen/>
      </w:r>
      <w:r w:rsidRPr="00F2448C">
        <w:rPr>
          <w:rFonts w:ascii="Times New Roman" w:hAnsi="Times New Roman" w:cs="Times New Roman"/>
          <w:sz w:val="20"/>
          <w:lang w:val="en-GB"/>
        </w:rPr>
        <w:t>36.</w:t>
      </w:r>
    </w:p>
    <w:p w14:paraId="3BDB3947" w14:textId="5A409F49"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Cella</w:t>
      </w:r>
      <w:r w:rsidR="00C478A4"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 (2009).</w:t>
      </w:r>
      <w:r w:rsidR="009509A3" w:rsidRPr="00F2448C">
        <w:rPr>
          <w:rFonts w:ascii="Times New Roman" w:hAnsi="Times New Roman" w:cs="Times New Roman"/>
          <w:sz w:val="20"/>
          <w:lang w:val="en-GB"/>
        </w:rPr>
        <w:t xml:space="preserve"> </w:t>
      </w:r>
      <w:r w:rsidRPr="00F2448C">
        <w:rPr>
          <w:rFonts w:ascii="Times New Roman" w:hAnsi="Times New Roman" w:cs="Times New Roman"/>
          <w:bCs/>
          <w:sz w:val="20"/>
          <w:lang w:val="en-GB"/>
        </w:rPr>
        <w:t>Institutional investors and corporate investment.</w:t>
      </w:r>
      <w:r w:rsidR="00C478A4" w:rsidRPr="00F2448C">
        <w:rPr>
          <w:rFonts w:ascii="Times New Roman" w:hAnsi="Times New Roman" w:cs="Times New Roman"/>
          <w:bCs/>
          <w:sz w:val="20"/>
          <w:lang w:val="en-GB"/>
        </w:rPr>
        <w:t xml:space="preserve"> </w:t>
      </w:r>
      <w:r w:rsidR="00F55A4E" w:rsidRPr="00F2448C">
        <w:rPr>
          <w:rFonts w:ascii="Times New Roman" w:hAnsi="Times New Roman" w:cs="Times New Roman"/>
          <w:sz w:val="20"/>
          <w:lang w:val="en-GB"/>
        </w:rPr>
        <w:t xml:space="preserve">United </w:t>
      </w:r>
      <w:r w:rsidR="00FB67F9" w:rsidRPr="00F2448C">
        <w:rPr>
          <w:rFonts w:ascii="Times New Roman" w:hAnsi="Times New Roman" w:cs="Times New Roman"/>
          <w:sz w:val="20"/>
          <w:lang w:val="en-GB"/>
        </w:rPr>
        <w:t xml:space="preserve">Sates: </w:t>
      </w:r>
      <w:r w:rsidRPr="00F2448C">
        <w:rPr>
          <w:rFonts w:ascii="Times New Roman" w:hAnsi="Times New Roman" w:cs="Times New Roman"/>
          <w:sz w:val="20"/>
          <w:lang w:val="en-GB"/>
        </w:rPr>
        <w:t>Indiana University, Kelley School of Business</w:t>
      </w:r>
      <w:r w:rsidR="00FB67F9" w:rsidRPr="00F2448C">
        <w:rPr>
          <w:rFonts w:ascii="Times New Roman" w:hAnsi="Times New Roman" w:cs="Times New Roman"/>
          <w:sz w:val="20"/>
          <w:lang w:val="en-GB"/>
        </w:rPr>
        <w:t>.</w:t>
      </w:r>
    </w:p>
    <w:p w14:paraId="64313A59" w14:textId="046EFC2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Chuang, H. (2020). The impacts of institutional ownership on stock returns.</w:t>
      </w:r>
      <w:r w:rsidR="009509A3" w:rsidRPr="00F2448C">
        <w:rPr>
          <w:rFonts w:ascii="Times New Roman" w:hAnsi="Times New Roman" w:cs="Times New Roman"/>
          <w:lang w:val="en-GB"/>
        </w:rPr>
        <w:t xml:space="preserve"> </w:t>
      </w:r>
      <w:proofErr w:type="spellStart"/>
      <w:r w:rsidR="009509A3" w:rsidRPr="00F2448C">
        <w:rPr>
          <w:rFonts w:ascii="Times New Roman" w:hAnsi="Times New Roman" w:cs="Times New Roman"/>
          <w:sz w:val="20"/>
          <w:lang w:val="en-GB"/>
        </w:rPr>
        <w:t>Empir</w:t>
      </w:r>
      <w:proofErr w:type="spellEnd"/>
      <w:r w:rsidR="009509A3" w:rsidRPr="00F2448C">
        <w:rPr>
          <w:rFonts w:ascii="Times New Roman" w:hAnsi="Times New Roman" w:cs="Times New Roman"/>
          <w:sz w:val="20"/>
          <w:lang w:val="en-GB"/>
        </w:rPr>
        <w:t>. Econ</w:t>
      </w:r>
      <w:r w:rsidR="009509A3" w:rsidRPr="00F2448C">
        <w:rPr>
          <w:rFonts w:ascii="Times New Roman" w:hAnsi="Times New Roman" w:cs="Times New Roman"/>
          <w:i/>
          <w:sz w:val="20"/>
          <w:lang w:val="en-GB"/>
        </w:rPr>
        <w:t>.</w:t>
      </w:r>
      <w:r w:rsidRPr="00F2448C">
        <w:rPr>
          <w:rFonts w:ascii="Times New Roman" w:hAnsi="Times New Roman" w:cs="Times New Roman"/>
          <w:sz w:val="20"/>
          <w:lang w:val="en-GB"/>
        </w:rPr>
        <w:t xml:space="preserve"> 58(2)</w:t>
      </w:r>
      <w:r w:rsidR="009509A3" w:rsidRPr="00F2448C">
        <w:rPr>
          <w:rFonts w:ascii="Times New Roman" w:hAnsi="Times New Roman" w:cs="Times New Roman"/>
          <w:sz w:val="20"/>
          <w:lang w:val="en-GB"/>
        </w:rPr>
        <w:t>:</w:t>
      </w:r>
      <w:r w:rsidRPr="00F2448C">
        <w:rPr>
          <w:rFonts w:ascii="Times New Roman" w:hAnsi="Times New Roman" w:cs="Times New Roman"/>
          <w:sz w:val="20"/>
          <w:lang w:val="en-GB"/>
        </w:rPr>
        <w:t>507</w:t>
      </w:r>
      <w:r w:rsidR="009509A3" w:rsidRPr="00F2448C">
        <w:rPr>
          <w:rFonts w:ascii="Times New Roman" w:hAnsi="Times New Roman" w:cs="Times New Roman"/>
          <w:sz w:val="20"/>
          <w:lang w:val="en-GB"/>
        </w:rPr>
        <w:noBreakHyphen/>
      </w:r>
      <w:r w:rsidRPr="00F2448C">
        <w:rPr>
          <w:rFonts w:ascii="Times New Roman" w:hAnsi="Times New Roman" w:cs="Times New Roman"/>
          <w:sz w:val="20"/>
          <w:lang w:val="en-GB"/>
        </w:rPr>
        <w:t>533.</w:t>
      </w:r>
    </w:p>
    <w:p w14:paraId="4F985534" w14:textId="26D0546A"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Clark, G.</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 and Wójcik, D. (2005). Financial valuation of the German model: the negative relationship between ownership concentration and stock market returns, 1997–2001.</w:t>
      </w:r>
      <w:r w:rsidR="00813B14" w:rsidRPr="00F2448C">
        <w:rPr>
          <w:rFonts w:ascii="Times New Roman" w:hAnsi="Times New Roman" w:cs="Times New Roman"/>
          <w:lang w:val="en-GB"/>
        </w:rPr>
        <w:t xml:space="preserve"> </w:t>
      </w:r>
      <w:r w:rsidR="00813B14" w:rsidRPr="00F2448C">
        <w:rPr>
          <w:rFonts w:ascii="Times New Roman" w:hAnsi="Times New Roman" w:cs="Times New Roman"/>
          <w:iCs/>
          <w:sz w:val="20"/>
          <w:lang w:val="en-GB"/>
        </w:rPr>
        <w:t xml:space="preserve">Econ. </w:t>
      </w:r>
      <w:proofErr w:type="spellStart"/>
      <w:r w:rsidR="00813B14" w:rsidRPr="00F2448C">
        <w:rPr>
          <w:rFonts w:ascii="Times New Roman" w:hAnsi="Times New Roman" w:cs="Times New Roman"/>
          <w:iCs/>
          <w:sz w:val="20"/>
          <w:lang w:val="en-GB"/>
        </w:rPr>
        <w:t>Geogr</w:t>
      </w:r>
      <w:proofErr w:type="spellEnd"/>
      <w:r w:rsidR="00813B14" w:rsidRPr="00F2448C">
        <w:rPr>
          <w:rFonts w:ascii="Times New Roman" w:hAnsi="Times New Roman" w:cs="Times New Roman"/>
          <w:iCs/>
          <w:sz w:val="20"/>
          <w:lang w:val="en-GB"/>
        </w:rPr>
        <w:t xml:space="preserve">. </w:t>
      </w:r>
      <w:r w:rsidRPr="00F2448C">
        <w:rPr>
          <w:rFonts w:ascii="Times New Roman" w:hAnsi="Times New Roman" w:cs="Times New Roman"/>
          <w:iCs/>
          <w:sz w:val="20"/>
          <w:lang w:val="en-GB"/>
        </w:rPr>
        <w:t>81(</w:t>
      </w:r>
      <w:r w:rsidRPr="00F2448C">
        <w:rPr>
          <w:rFonts w:ascii="Times New Roman" w:hAnsi="Times New Roman" w:cs="Times New Roman"/>
          <w:sz w:val="20"/>
          <w:lang w:val="en-GB"/>
        </w:rPr>
        <w:t>1)</w:t>
      </w:r>
      <w:r w:rsidR="00813B14" w:rsidRPr="00F2448C">
        <w:rPr>
          <w:rFonts w:ascii="Times New Roman" w:hAnsi="Times New Roman" w:cs="Times New Roman"/>
          <w:sz w:val="20"/>
          <w:lang w:val="en-GB"/>
        </w:rPr>
        <w:t>:</w:t>
      </w:r>
      <w:r w:rsidRPr="00F2448C">
        <w:rPr>
          <w:rFonts w:ascii="Times New Roman" w:hAnsi="Times New Roman" w:cs="Times New Roman"/>
          <w:sz w:val="20"/>
          <w:lang w:val="en-GB"/>
        </w:rPr>
        <w:t>11</w:t>
      </w:r>
      <w:r w:rsidR="00813B14" w:rsidRPr="00F2448C">
        <w:rPr>
          <w:rFonts w:ascii="Times New Roman" w:hAnsi="Times New Roman" w:cs="Times New Roman"/>
          <w:sz w:val="20"/>
          <w:lang w:val="en-GB"/>
        </w:rPr>
        <w:noBreakHyphen/>
      </w:r>
      <w:r w:rsidRPr="00F2448C">
        <w:rPr>
          <w:rFonts w:ascii="Times New Roman" w:hAnsi="Times New Roman" w:cs="Times New Roman"/>
          <w:sz w:val="20"/>
          <w:lang w:val="en-GB"/>
        </w:rPr>
        <w:t>29.</w:t>
      </w:r>
    </w:p>
    <w:p w14:paraId="220982CF" w14:textId="5EA877C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Dasgupta, A., Prat, A. and Verardo, M. (2011). Institutional trade persistence and long‐term equity returns</w:t>
      </w:r>
      <w:r w:rsidR="005E3465" w:rsidRPr="00F2448C">
        <w:rPr>
          <w:rFonts w:ascii="Times New Roman" w:hAnsi="Times New Roman" w:cs="Times New Roman"/>
          <w:sz w:val="20"/>
          <w:lang w:val="en-GB"/>
        </w:rPr>
        <w:t>. J. Finance.</w:t>
      </w:r>
      <w:r w:rsidR="005E3465"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66(</w:t>
      </w:r>
      <w:r w:rsidRPr="00F2448C">
        <w:rPr>
          <w:rFonts w:ascii="Times New Roman" w:hAnsi="Times New Roman" w:cs="Times New Roman"/>
          <w:sz w:val="20"/>
          <w:lang w:val="en-GB"/>
        </w:rPr>
        <w:t>2)</w:t>
      </w:r>
      <w:r w:rsidR="005E3465" w:rsidRPr="00F2448C">
        <w:rPr>
          <w:rFonts w:ascii="Times New Roman" w:hAnsi="Times New Roman" w:cs="Times New Roman"/>
          <w:sz w:val="20"/>
          <w:lang w:val="en-GB"/>
        </w:rPr>
        <w:t>:</w:t>
      </w:r>
      <w:r w:rsidRPr="00F2448C">
        <w:rPr>
          <w:rFonts w:ascii="Times New Roman" w:hAnsi="Times New Roman" w:cs="Times New Roman"/>
          <w:sz w:val="20"/>
          <w:lang w:val="en-GB"/>
        </w:rPr>
        <w:t>635</w:t>
      </w:r>
      <w:r w:rsidR="005E3465" w:rsidRPr="00F2448C">
        <w:rPr>
          <w:rFonts w:ascii="Times New Roman" w:hAnsi="Times New Roman" w:cs="Times New Roman"/>
          <w:sz w:val="20"/>
          <w:lang w:val="en-GB"/>
        </w:rPr>
        <w:noBreakHyphen/>
      </w:r>
      <w:r w:rsidRPr="00F2448C">
        <w:rPr>
          <w:rFonts w:ascii="Times New Roman" w:hAnsi="Times New Roman" w:cs="Times New Roman"/>
          <w:sz w:val="20"/>
          <w:lang w:val="en-GB"/>
        </w:rPr>
        <w:t>653.</w:t>
      </w:r>
    </w:p>
    <w:p w14:paraId="61EC0DA6" w14:textId="0C4532B8"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Demsetz</w:t>
      </w:r>
      <w:proofErr w:type="spellEnd"/>
      <w:r w:rsidRPr="00F2448C">
        <w:rPr>
          <w:rFonts w:ascii="Times New Roman" w:hAnsi="Times New Roman" w:cs="Times New Roman"/>
          <w:sz w:val="20"/>
          <w:lang w:val="en-GB"/>
        </w:rPr>
        <w:t>, H. and Lehn, K. (1985)</w:t>
      </w:r>
      <w:r w:rsidR="00980D0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structure of corporate ownership: causes and consequences</w:t>
      </w:r>
      <w:r w:rsidR="00980D0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93</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6</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1155</w:t>
      </w:r>
      <w:r w:rsidR="00980D0C" w:rsidRPr="00F2448C">
        <w:rPr>
          <w:rFonts w:ascii="Times New Roman" w:hAnsi="Times New Roman" w:cs="Times New Roman"/>
          <w:sz w:val="20"/>
          <w:lang w:val="en-GB"/>
        </w:rPr>
        <w:noBreakHyphen/>
      </w:r>
      <w:r w:rsidRPr="00F2448C">
        <w:rPr>
          <w:rFonts w:ascii="Times New Roman" w:hAnsi="Times New Roman" w:cs="Times New Roman"/>
          <w:sz w:val="20"/>
          <w:lang w:val="en-GB"/>
        </w:rPr>
        <w:t>1177.</w:t>
      </w:r>
    </w:p>
    <w:p w14:paraId="37D479F7" w14:textId="7A0C4C6B"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Dyakov</w:t>
      </w:r>
      <w:proofErr w:type="spellEnd"/>
      <w:r w:rsidRPr="00F2448C">
        <w:rPr>
          <w:rFonts w:ascii="Times New Roman" w:hAnsi="Times New Roman" w:cs="Times New Roman"/>
          <w:sz w:val="20"/>
          <w:lang w:val="en-GB"/>
        </w:rPr>
        <w:t xml:space="preserve">, T. and </w:t>
      </w:r>
      <w:proofErr w:type="spellStart"/>
      <w:r w:rsidRPr="00F2448C">
        <w:rPr>
          <w:rFonts w:ascii="Times New Roman" w:hAnsi="Times New Roman" w:cs="Times New Roman"/>
          <w:sz w:val="20"/>
          <w:lang w:val="en-GB"/>
        </w:rPr>
        <w:t>Wipplinger</w:t>
      </w:r>
      <w:proofErr w:type="spellEnd"/>
      <w:r w:rsidRPr="00F2448C">
        <w:rPr>
          <w:rFonts w:ascii="Times New Roman" w:hAnsi="Times New Roman" w:cs="Times New Roman"/>
          <w:sz w:val="20"/>
          <w:lang w:val="en-GB"/>
        </w:rPr>
        <w:t>, E. (2020). Institutional ownership and future stock returns: an international perspective.</w:t>
      </w:r>
      <w:r w:rsidR="00A748EB" w:rsidRPr="00F2448C">
        <w:rPr>
          <w:rFonts w:ascii="Times New Roman" w:hAnsi="Times New Roman" w:cs="Times New Roman"/>
          <w:color w:val="202124"/>
          <w:sz w:val="21"/>
          <w:szCs w:val="21"/>
          <w:lang w:val="en-GB"/>
        </w:rPr>
        <w:t xml:space="preserve"> </w:t>
      </w:r>
      <w:r w:rsidR="00A748EB" w:rsidRPr="00F2448C">
        <w:rPr>
          <w:rFonts w:ascii="Times New Roman" w:eastAsia="Times New Roman" w:hAnsi="Times New Roman" w:cs="Times New Roman"/>
          <w:color w:val="202124"/>
          <w:sz w:val="21"/>
          <w:szCs w:val="21"/>
          <w:lang w:val="en-GB"/>
        </w:rPr>
        <w:t xml:space="preserve">Int. Rev. Finance.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A748EB" w:rsidRPr="00F2448C">
        <w:rPr>
          <w:rFonts w:ascii="Times New Roman" w:hAnsi="Times New Roman" w:cs="Times New Roman"/>
          <w:sz w:val="20"/>
          <w:lang w:val="en-GB"/>
        </w:rPr>
        <w:t>:</w:t>
      </w:r>
      <w:r w:rsidRPr="00F2448C">
        <w:rPr>
          <w:rFonts w:ascii="Times New Roman" w:hAnsi="Times New Roman" w:cs="Times New Roman"/>
          <w:sz w:val="20"/>
          <w:lang w:val="en-GB"/>
        </w:rPr>
        <w:t>235</w:t>
      </w:r>
      <w:r w:rsidR="00A748EB" w:rsidRPr="00F2448C">
        <w:rPr>
          <w:rFonts w:ascii="Times New Roman" w:hAnsi="Times New Roman" w:cs="Times New Roman"/>
          <w:sz w:val="20"/>
          <w:lang w:val="en-GB"/>
        </w:rPr>
        <w:noBreakHyphen/>
      </w:r>
      <w:r w:rsidRPr="00F2448C">
        <w:rPr>
          <w:rFonts w:ascii="Times New Roman" w:hAnsi="Times New Roman" w:cs="Times New Roman"/>
          <w:sz w:val="20"/>
          <w:lang w:val="en-GB"/>
        </w:rPr>
        <w:t>245.</w:t>
      </w:r>
    </w:p>
    <w:p w14:paraId="6D57B858" w14:textId="266829E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Gompers, P.</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and Metrick, A. (2001).</w:t>
      </w:r>
      <w:r w:rsidR="00684F3B"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Institutional investors and equity prices.</w:t>
      </w:r>
      <w:r w:rsidR="00684F3B" w:rsidRPr="00F2448C">
        <w:rPr>
          <w:rFonts w:ascii="Times New Roman" w:hAnsi="Times New Roman" w:cs="Times New Roman"/>
          <w:sz w:val="20"/>
          <w:lang w:val="en-GB"/>
        </w:rPr>
        <w:t xml:space="preserve"> Q. J. Econ. </w:t>
      </w:r>
      <w:r w:rsidRPr="00F2448C">
        <w:rPr>
          <w:rFonts w:ascii="Times New Roman" w:hAnsi="Times New Roman" w:cs="Times New Roman"/>
          <w:sz w:val="20"/>
          <w:lang w:val="en-GB"/>
        </w:rPr>
        <w:t>116(1)</w:t>
      </w:r>
      <w:r w:rsidR="00684F3B" w:rsidRPr="00F2448C">
        <w:rPr>
          <w:rFonts w:ascii="Times New Roman" w:hAnsi="Times New Roman" w:cs="Times New Roman"/>
          <w:sz w:val="20"/>
          <w:lang w:val="en-GB"/>
        </w:rPr>
        <w:t>:</w:t>
      </w:r>
      <w:r w:rsidRPr="00F2448C">
        <w:rPr>
          <w:rFonts w:ascii="Times New Roman" w:hAnsi="Times New Roman" w:cs="Times New Roman"/>
          <w:sz w:val="20"/>
          <w:lang w:val="en-GB"/>
        </w:rPr>
        <w:t>229</w:t>
      </w:r>
      <w:r w:rsidR="00684F3B" w:rsidRPr="00F2448C">
        <w:rPr>
          <w:rFonts w:ascii="Times New Roman" w:hAnsi="Times New Roman" w:cs="Times New Roman"/>
          <w:sz w:val="20"/>
          <w:lang w:val="en-GB"/>
        </w:rPr>
        <w:noBreakHyphen/>
      </w:r>
      <w:r w:rsidRPr="00F2448C">
        <w:rPr>
          <w:rFonts w:ascii="Times New Roman" w:hAnsi="Times New Roman" w:cs="Times New Roman"/>
          <w:sz w:val="20"/>
          <w:lang w:val="en-GB"/>
        </w:rPr>
        <w:t>259.</w:t>
      </w:r>
    </w:p>
    <w:p w14:paraId="5947E9F9" w14:textId="3650D3E4"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Han, K.C. and Suk, D.Y. (1998). The effect of ownership structure on firm performance: Additional evidence.</w:t>
      </w:r>
      <w:r w:rsidR="009E5E6C" w:rsidRPr="00F2448C">
        <w:rPr>
          <w:rFonts w:ascii="Times New Roman" w:hAnsi="Times New Roman" w:cs="Times New Roman"/>
          <w:lang w:val="en-GB"/>
        </w:rPr>
        <w:t xml:space="preserve"> </w:t>
      </w:r>
      <w:r w:rsidR="009E5E6C" w:rsidRPr="00F2448C">
        <w:rPr>
          <w:rFonts w:ascii="Times New Roman" w:hAnsi="Times New Roman" w:cs="Times New Roman"/>
          <w:iCs/>
          <w:sz w:val="20"/>
          <w:lang w:val="en-GB"/>
        </w:rPr>
        <w:t xml:space="preserve">Rev. </w:t>
      </w:r>
      <w:proofErr w:type="spellStart"/>
      <w:r w:rsidR="009E5E6C" w:rsidRPr="00F2448C">
        <w:rPr>
          <w:rFonts w:ascii="Times New Roman" w:hAnsi="Times New Roman" w:cs="Times New Roman"/>
          <w:iCs/>
          <w:sz w:val="20"/>
          <w:lang w:val="en-GB"/>
        </w:rPr>
        <w:t>Financ</w:t>
      </w:r>
      <w:proofErr w:type="spellEnd"/>
      <w:r w:rsidR="009E5E6C" w:rsidRPr="00F2448C">
        <w:rPr>
          <w:rFonts w:ascii="Times New Roman" w:hAnsi="Times New Roman" w:cs="Times New Roman"/>
          <w:iCs/>
          <w:sz w:val="20"/>
          <w:lang w:val="en-GB"/>
        </w:rPr>
        <w:t>. Econ</w:t>
      </w:r>
      <w:r w:rsidR="009E5E6C" w:rsidRPr="00F2448C">
        <w:rPr>
          <w:rFonts w:ascii="Times New Roman" w:hAnsi="Times New Roman" w:cs="Times New Roman"/>
          <w:sz w:val="20"/>
          <w:lang w:val="en-GB"/>
        </w:rPr>
        <w:t>.</w:t>
      </w:r>
      <w:r w:rsidR="00ED57D8"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7</w:t>
      </w:r>
      <w:r w:rsidRPr="00F2448C">
        <w:rPr>
          <w:rFonts w:ascii="Times New Roman" w:hAnsi="Times New Roman" w:cs="Times New Roman"/>
          <w:sz w:val="20"/>
          <w:lang w:val="en-GB"/>
        </w:rPr>
        <w:t>(2)</w:t>
      </w:r>
      <w:r w:rsidR="009E5E6C" w:rsidRPr="00F2448C">
        <w:rPr>
          <w:rFonts w:ascii="Times New Roman" w:hAnsi="Times New Roman" w:cs="Times New Roman"/>
          <w:sz w:val="20"/>
          <w:lang w:val="en-GB"/>
        </w:rPr>
        <w:t>:</w:t>
      </w:r>
      <w:r w:rsidRPr="00F2448C">
        <w:rPr>
          <w:rFonts w:ascii="Times New Roman" w:hAnsi="Times New Roman" w:cs="Times New Roman"/>
          <w:sz w:val="20"/>
          <w:lang w:val="en-GB"/>
        </w:rPr>
        <w:t>143</w:t>
      </w:r>
      <w:r w:rsidR="009E5E6C" w:rsidRPr="00F2448C">
        <w:rPr>
          <w:rFonts w:ascii="Times New Roman" w:hAnsi="Times New Roman" w:cs="Times New Roman"/>
          <w:sz w:val="20"/>
          <w:lang w:val="en-GB"/>
        </w:rPr>
        <w:noBreakHyphen/>
      </w:r>
      <w:r w:rsidRPr="00F2448C">
        <w:rPr>
          <w:rFonts w:ascii="Times New Roman" w:hAnsi="Times New Roman" w:cs="Times New Roman"/>
          <w:sz w:val="20"/>
          <w:lang w:val="en-GB"/>
        </w:rPr>
        <w:t>155.</w:t>
      </w:r>
    </w:p>
    <w:p w14:paraId="36E7E5C7" w14:textId="55DDAB4B"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Kennedy, P. (1985)</w:t>
      </w:r>
      <w:r w:rsidR="00891CC6"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A Guide to Econometrics</w:t>
      </w:r>
      <w:r w:rsidRPr="00F2448C">
        <w:rPr>
          <w:rFonts w:ascii="Times New Roman" w:hAnsi="Times New Roman" w:cs="Times New Roman"/>
          <w:sz w:val="20"/>
          <w:lang w:val="en-GB"/>
        </w:rPr>
        <w:t>, MIT Press, Cambridge.</w:t>
      </w:r>
    </w:p>
    <w:p w14:paraId="7966C17B" w14:textId="3662FB2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La Porta, R., Lopez‐de‐Silanes, F., and Shleifer, A. (1999). Corporate ownership around the world.</w:t>
      </w:r>
      <w:r w:rsidR="003D4C3C" w:rsidRPr="00F2448C">
        <w:rPr>
          <w:rFonts w:ascii="Times New Roman" w:hAnsi="Times New Roman" w:cs="Times New Roman"/>
          <w:sz w:val="20"/>
          <w:lang w:val="en-GB"/>
        </w:rPr>
        <w:t xml:space="preserve"> J. Finance.</w:t>
      </w:r>
      <w:r w:rsidR="003D4C3C"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54(</w:t>
      </w:r>
      <w:r w:rsidRPr="00F2448C">
        <w:rPr>
          <w:rFonts w:ascii="Times New Roman" w:hAnsi="Times New Roman" w:cs="Times New Roman"/>
          <w:sz w:val="20"/>
          <w:lang w:val="en-GB"/>
        </w:rPr>
        <w:t>2)</w:t>
      </w:r>
      <w:r w:rsidR="003D4C3C" w:rsidRPr="00F2448C">
        <w:rPr>
          <w:rFonts w:ascii="Times New Roman" w:hAnsi="Times New Roman" w:cs="Times New Roman"/>
          <w:sz w:val="20"/>
          <w:lang w:val="en-GB"/>
        </w:rPr>
        <w:t>:</w:t>
      </w:r>
      <w:r w:rsidRPr="00F2448C">
        <w:rPr>
          <w:rFonts w:ascii="Times New Roman" w:hAnsi="Times New Roman" w:cs="Times New Roman"/>
          <w:sz w:val="20"/>
          <w:lang w:val="en-GB"/>
        </w:rPr>
        <w:t>471</w:t>
      </w:r>
      <w:r w:rsidR="003D4C3C" w:rsidRPr="00F2448C">
        <w:rPr>
          <w:rFonts w:ascii="Times New Roman" w:hAnsi="Times New Roman" w:cs="Times New Roman"/>
          <w:sz w:val="20"/>
          <w:lang w:val="en-GB"/>
        </w:rPr>
        <w:noBreakHyphen/>
      </w:r>
      <w:r w:rsidRPr="00F2448C">
        <w:rPr>
          <w:rFonts w:ascii="Times New Roman" w:hAnsi="Times New Roman" w:cs="Times New Roman"/>
          <w:sz w:val="20"/>
          <w:lang w:val="en-GB"/>
        </w:rPr>
        <w:t>517.</w:t>
      </w:r>
    </w:p>
    <w:p w14:paraId="761982BE" w14:textId="3996B0C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Manawaduge</w:t>
      </w:r>
      <w:proofErr w:type="spellEnd"/>
      <w:r w:rsidRPr="00F2448C">
        <w:rPr>
          <w:rFonts w:ascii="Times New Roman" w:hAnsi="Times New Roman" w:cs="Times New Roman"/>
          <w:sz w:val="20"/>
          <w:lang w:val="en-GB"/>
        </w:rPr>
        <w:t>, A.</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Zoysa, A., and Rudkin, K.</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(2009).</w:t>
      </w:r>
      <w:r w:rsidR="00C55FC5"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Performance implication of ownership structure and ownership concentration: Evidence from Sri Lankan firms.</w:t>
      </w:r>
      <w:r w:rsidRPr="00F2448C">
        <w:rPr>
          <w:rFonts w:ascii="Times New Roman" w:hAnsi="Times New Roman" w:cs="Times New Roman"/>
          <w:sz w:val="20"/>
          <w:lang w:val="en-GB"/>
        </w:rPr>
        <w:t xml:space="preserve"> Paper presented at the </w:t>
      </w:r>
      <w:r w:rsidRPr="00F2448C">
        <w:rPr>
          <w:rFonts w:ascii="Times New Roman" w:hAnsi="Times New Roman" w:cs="Times New Roman"/>
          <w:iCs/>
          <w:sz w:val="20"/>
          <w:lang w:val="en-GB"/>
        </w:rPr>
        <w:t>Performance Management Association Conference</w:t>
      </w:r>
      <w:r w:rsidR="00BB66A1" w:rsidRPr="00F2448C">
        <w:rPr>
          <w:rFonts w:ascii="Times New Roman" w:hAnsi="Times New Roman" w:cs="Times New Roman"/>
          <w:iCs/>
          <w:sz w:val="20"/>
          <w:lang w:val="en-GB"/>
        </w:rPr>
        <w:t>.</w:t>
      </w:r>
      <w:r w:rsidRPr="00F2448C">
        <w:rPr>
          <w:rFonts w:ascii="Times New Roman" w:hAnsi="Times New Roman" w:cs="Times New Roman"/>
          <w:sz w:val="20"/>
          <w:lang w:val="en-GB"/>
        </w:rPr>
        <w:t xml:space="preserve"> Dunedin, New Zealand</w:t>
      </w:r>
      <w:r w:rsidR="00BB66A1" w:rsidRPr="00F2448C">
        <w:rPr>
          <w:rFonts w:ascii="Times New Roman" w:hAnsi="Times New Roman" w:cs="Times New Roman"/>
          <w:sz w:val="20"/>
          <w:lang w:val="en-GB"/>
        </w:rPr>
        <w:t>.</w:t>
      </w:r>
    </w:p>
    <w:p w14:paraId="4BB9A4FD" w14:textId="68ECB4D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McNulty, T. and Nordberg, D. (2016). Ownership, activism and engagement: institutional investors as active owners.</w:t>
      </w:r>
      <w:r w:rsidR="00C55FC5" w:rsidRPr="00F2448C">
        <w:rPr>
          <w:rFonts w:ascii="Times New Roman" w:hAnsi="Times New Roman" w:cs="Times New Roman"/>
          <w:sz w:val="20"/>
          <w:lang w:val="en-GB"/>
        </w:rPr>
        <w:t xml:space="preserve"> Corp. Gov.: Int. Rev.</w:t>
      </w:r>
      <w:r w:rsidR="00C55FC5"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24(3)</w:t>
      </w:r>
      <w:r w:rsidR="00C55FC5" w:rsidRPr="00F2448C">
        <w:rPr>
          <w:rFonts w:ascii="Times New Roman" w:hAnsi="Times New Roman" w:cs="Times New Roman"/>
          <w:sz w:val="20"/>
          <w:lang w:val="en-GB"/>
        </w:rPr>
        <w:t>:</w:t>
      </w:r>
      <w:r w:rsidRPr="00F2448C">
        <w:rPr>
          <w:rFonts w:ascii="Times New Roman" w:hAnsi="Times New Roman" w:cs="Times New Roman"/>
          <w:sz w:val="20"/>
          <w:lang w:val="en-GB"/>
        </w:rPr>
        <w:t>346</w:t>
      </w:r>
      <w:r w:rsidR="00C55FC5" w:rsidRPr="00F2448C">
        <w:rPr>
          <w:rFonts w:ascii="Times New Roman" w:hAnsi="Times New Roman" w:cs="Times New Roman"/>
          <w:sz w:val="20"/>
          <w:lang w:val="en-GB"/>
        </w:rPr>
        <w:noBreakHyphen/>
      </w:r>
      <w:r w:rsidRPr="00F2448C">
        <w:rPr>
          <w:rFonts w:ascii="Times New Roman" w:hAnsi="Times New Roman" w:cs="Times New Roman"/>
          <w:sz w:val="20"/>
          <w:lang w:val="en-GB"/>
        </w:rPr>
        <w:t>358.</w:t>
      </w:r>
    </w:p>
    <w:p w14:paraId="2BFB6264" w14:textId="56294B3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Othman, R., Arshad, R., Ahmad, C.</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and Hamzah, N.</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(2010)</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The impact of ownership structure on stock returns, In 2010 International Conference on Science and Social Research (CSSR 2010) (pp. 217-221). IEEE.</w:t>
      </w:r>
    </w:p>
    <w:p w14:paraId="65FA600E" w14:textId="017FD75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Ovtcharova</w:t>
      </w:r>
      <w:proofErr w:type="spellEnd"/>
      <w:r w:rsidRPr="00F2448C">
        <w:rPr>
          <w:rFonts w:ascii="Times New Roman" w:hAnsi="Times New Roman" w:cs="Times New Roman"/>
          <w:sz w:val="20"/>
          <w:lang w:val="en-GB"/>
        </w:rPr>
        <w:t>, G. (2003). Institutional Ownership and Long-Term Stock Returns.</w:t>
      </w:r>
      <w:r w:rsidR="0045376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Working Papers Series. Available at SSRN: https://ssrn.com/abstract=410560.</w:t>
      </w:r>
    </w:p>
    <w:p w14:paraId="5143EF19" w14:textId="5A1FB3F8"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Shleifer, A.</w:t>
      </w:r>
      <w:r w:rsidR="005B3D5C" w:rsidRPr="00F2448C">
        <w:rPr>
          <w:rFonts w:ascii="Times New Roman" w:hAnsi="Times New Roman" w:cs="Times New Roman"/>
          <w:sz w:val="20"/>
          <w:lang w:val="en-GB"/>
        </w:rPr>
        <w:t xml:space="preserve"> and </w:t>
      </w:r>
      <w:proofErr w:type="spellStart"/>
      <w:r w:rsidRPr="00F2448C">
        <w:rPr>
          <w:rFonts w:ascii="Times New Roman" w:hAnsi="Times New Roman" w:cs="Times New Roman"/>
          <w:sz w:val="20"/>
          <w:lang w:val="en-GB"/>
        </w:rPr>
        <w:t>Vishny</w:t>
      </w:r>
      <w:proofErr w:type="spellEnd"/>
      <w:r w:rsidRPr="00F2448C">
        <w:rPr>
          <w:rFonts w:ascii="Times New Roman" w:hAnsi="Times New Roman" w:cs="Times New Roman"/>
          <w:sz w:val="20"/>
          <w:lang w:val="en-GB"/>
        </w:rPr>
        <w:t>, R.W. (1986).</w:t>
      </w:r>
      <w:r w:rsidR="005B3D5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Large shareholders and corporate control.</w:t>
      </w:r>
      <w:r w:rsidR="005B3D5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94(3)</w:t>
      </w:r>
      <w:r w:rsidR="005B3D5C" w:rsidRPr="00F2448C">
        <w:rPr>
          <w:rFonts w:ascii="Times New Roman" w:hAnsi="Times New Roman" w:cs="Times New Roman"/>
          <w:sz w:val="20"/>
          <w:lang w:val="en-GB"/>
        </w:rPr>
        <w:t>:</w:t>
      </w:r>
      <w:r w:rsidRPr="00F2448C">
        <w:rPr>
          <w:rFonts w:ascii="Times New Roman" w:hAnsi="Times New Roman" w:cs="Times New Roman"/>
          <w:sz w:val="20"/>
          <w:lang w:val="en-GB"/>
        </w:rPr>
        <w:t>461</w:t>
      </w:r>
      <w:r w:rsidR="005B3D5C" w:rsidRPr="00F2448C">
        <w:rPr>
          <w:rFonts w:ascii="Times New Roman" w:hAnsi="Times New Roman" w:cs="Times New Roman"/>
          <w:sz w:val="20"/>
          <w:lang w:val="en-GB"/>
        </w:rPr>
        <w:noBreakHyphen/>
      </w:r>
      <w:r w:rsidRPr="00F2448C">
        <w:rPr>
          <w:rFonts w:ascii="Times New Roman" w:hAnsi="Times New Roman" w:cs="Times New Roman"/>
          <w:sz w:val="20"/>
          <w:lang w:val="en-GB"/>
        </w:rPr>
        <w:t>488.</w:t>
      </w:r>
    </w:p>
    <w:p w14:paraId="36386F25" w14:textId="4E3721A1" w:rsidR="00B95047" w:rsidRPr="00F2448C" w:rsidRDefault="00B95047" w:rsidP="00F8777D">
      <w:pPr>
        <w:spacing w:after="0" w:line="240" w:lineRule="auto"/>
        <w:jc w:val="both"/>
        <w:rPr>
          <w:rFonts w:ascii="Times New Roman" w:hAnsi="Times New Roman" w:cs="Times New Roman"/>
          <w:iCs/>
          <w:sz w:val="20"/>
          <w:lang w:val="en-GB"/>
        </w:rPr>
      </w:pPr>
      <w:r w:rsidRPr="00F2448C">
        <w:rPr>
          <w:rFonts w:ascii="Times New Roman" w:hAnsi="Times New Roman" w:cs="Times New Roman"/>
          <w:sz w:val="20"/>
          <w:lang w:val="en-GB"/>
        </w:rPr>
        <w:t>Sikorski, D. (2011).</w:t>
      </w:r>
      <w:r w:rsidR="00FA4B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global financial crisis</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iCs/>
          <w:sz w:val="20"/>
          <w:lang w:val="en-GB"/>
        </w:rPr>
        <w:t>The Impact of the Global Financial Crisis on Emerging Financial Markets.</w:t>
      </w:r>
      <w:r w:rsidR="00FA4BC9" w:rsidRPr="00F2448C">
        <w:rPr>
          <w:rFonts w:ascii="Times New Roman" w:hAnsi="Times New Roman" w:cs="Times New Roman"/>
          <w:i/>
          <w:iCs/>
          <w:sz w:val="20"/>
          <w:lang w:val="en-GB"/>
        </w:rPr>
        <w:t xml:space="preserve"> </w:t>
      </w:r>
      <w:r w:rsidRPr="00F2448C">
        <w:rPr>
          <w:rFonts w:ascii="Times New Roman" w:hAnsi="Times New Roman" w:cs="Times New Roman"/>
          <w:i/>
          <w:iCs/>
          <w:sz w:val="20"/>
          <w:lang w:val="en-GB"/>
        </w:rPr>
        <w:t>Contemporary Studies in Economic and Financial Analysis</w:t>
      </w:r>
      <w:r w:rsidR="00B37E91" w:rsidRPr="00F2448C">
        <w:rPr>
          <w:rFonts w:ascii="Times New Roman" w:hAnsi="Times New Roman" w:cs="Times New Roman"/>
          <w:iCs/>
          <w:sz w:val="20"/>
          <w:lang w:val="en-GB"/>
        </w:rPr>
        <w:t>,</w:t>
      </w:r>
      <w:r w:rsidR="00E562AD" w:rsidRPr="00F2448C">
        <w:rPr>
          <w:rFonts w:ascii="Times New Roman" w:hAnsi="Times New Roman" w:cs="Times New Roman"/>
          <w:iCs/>
          <w:sz w:val="20"/>
          <w:lang w:val="en-GB"/>
        </w:rPr>
        <w:t xml:space="preserve"> </w:t>
      </w:r>
      <w:r w:rsidR="00B37E91" w:rsidRPr="00F2448C">
        <w:rPr>
          <w:rFonts w:ascii="Times New Roman" w:hAnsi="Times New Roman" w:cs="Times New Roman"/>
          <w:sz w:val="20"/>
          <w:lang w:val="en-GB"/>
        </w:rPr>
        <w:t xml:space="preserve">ed. A. Jonathan Batten, and G </w:t>
      </w:r>
      <w:proofErr w:type="spellStart"/>
      <w:r w:rsidR="00B37E91" w:rsidRPr="00F2448C">
        <w:rPr>
          <w:rFonts w:ascii="Times New Roman" w:hAnsi="Times New Roman" w:cs="Times New Roman"/>
          <w:sz w:val="20"/>
          <w:lang w:val="en-GB"/>
        </w:rPr>
        <w:t>PeterSzilagyi</w:t>
      </w:r>
      <w:proofErr w:type="spellEnd"/>
      <w:r w:rsidR="00B37E91" w:rsidRPr="00F2448C">
        <w:rPr>
          <w:rFonts w:ascii="Times New Roman" w:hAnsi="Times New Roman" w:cs="Times New Roman"/>
          <w:sz w:val="20"/>
          <w:lang w:val="en-GB"/>
        </w:rPr>
        <w:t>,</w:t>
      </w:r>
      <w:r w:rsidR="00B37E91" w:rsidRPr="00F2448C">
        <w:rPr>
          <w:rFonts w:ascii="Times New Roman" w:hAnsi="Times New Roman" w:cs="Times New Roman"/>
          <w:iCs/>
          <w:sz w:val="20"/>
          <w:lang w:val="en-GB"/>
        </w:rPr>
        <w:t xml:space="preserve"> 93</w:t>
      </w:r>
      <w:r w:rsidR="00B37E91" w:rsidRPr="00F2448C">
        <w:rPr>
          <w:rFonts w:ascii="Times New Roman" w:hAnsi="Times New Roman" w:cs="Times New Roman"/>
          <w:i/>
          <w:sz w:val="20"/>
          <w:lang w:val="en-GB"/>
        </w:rPr>
        <w:t>:</w:t>
      </w:r>
      <w:r w:rsidR="00B37E91" w:rsidRPr="00F2448C">
        <w:rPr>
          <w:rFonts w:ascii="Times New Roman" w:hAnsi="Times New Roman" w:cs="Times New Roman"/>
          <w:sz w:val="20"/>
          <w:lang w:val="en-GB"/>
        </w:rPr>
        <w:t>17</w:t>
      </w:r>
      <w:r w:rsidR="00B37E91" w:rsidRPr="00F2448C">
        <w:rPr>
          <w:rFonts w:ascii="Times New Roman" w:hAnsi="Times New Roman" w:cs="Times New Roman"/>
          <w:sz w:val="20"/>
          <w:lang w:val="en-GB"/>
        </w:rPr>
        <w:noBreakHyphen/>
        <w:t xml:space="preserve">90. </w:t>
      </w:r>
      <w:r w:rsidR="00B37E91" w:rsidRPr="00F2448C">
        <w:rPr>
          <w:rFonts w:ascii="Times New Roman" w:hAnsi="Times New Roman" w:cs="Times New Roman"/>
          <w:iCs/>
          <w:sz w:val="20"/>
          <w:lang w:val="en-GB"/>
        </w:rPr>
        <w:t>United Kingdome:</w:t>
      </w:r>
      <w:hyperlink r:id="rId8" w:history="1">
        <w:r w:rsidR="00B37E91" w:rsidRPr="00F2448C">
          <w:rPr>
            <w:rStyle w:val="Hyperlink"/>
            <w:rFonts w:ascii="Times New Roman" w:hAnsi="Times New Roman" w:cs="Times New Roman"/>
            <w:iCs/>
            <w:color w:val="1A0DAB"/>
            <w:sz w:val="21"/>
            <w:szCs w:val="21"/>
            <w:shd w:val="clear" w:color="auto" w:fill="FFFFFF"/>
          </w:rPr>
          <w:t>Bingley:</w:t>
        </w:r>
      </w:hyperlink>
      <w:r w:rsidR="00B37E91" w:rsidRPr="00F2448C">
        <w:rPr>
          <w:rFonts w:ascii="Times New Roman" w:hAnsi="Times New Roman" w:cs="Times New Roman"/>
          <w:iCs/>
          <w:sz w:val="20"/>
          <w:lang w:val="en-GB"/>
        </w:rPr>
        <w:t>Emerald Group Publishing.</w:t>
      </w:r>
    </w:p>
    <w:p w14:paraId="63942F9A" w14:textId="46F30C2C" w:rsidR="00972986"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Singh, A. and Singh, M. (2016). Cross country co-movement in equity markets after the US financial crisis: India and major economic giants.</w:t>
      </w:r>
      <w:r w:rsidR="009B648A" w:rsidRPr="00F2448C">
        <w:rPr>
          <w:rFonts w:ascii="Times New Roman" w:hAnsi="Times New Roman" w:cs="Times New Roman"/>
          <w:sz w:val="20"/>
          <w:lang w:val="en-GB"/>
        </w:rPr>
        <w:t xml:space="preserve"> J. Indian Bus. Res.</w:t>
      </w:r>
      <w:r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8(2)</w:t>
      </w:r>
      <w:r w:rsidR="009B648A" w:rsidRPr="00F2448C">
        <w:rPr>
          <w:rFonts w:ascii="Times New Roman" w:hAnsi="Times New Roman" w:cs="Times New Roman"/>
          <w:sz w:val="20"/>
          <w:lang w:val="en-GB"/>
        </w:rPr>
        <w:t>:</w:t>
      </w:r>
      <w:r w:rsidRPr="00F2448C">
        <w:rPr>
          <w:rFonts w:ascii="Times New Roman" w:hAnsi="Times New Roman" w:cs="Times New Roman"/>
          <w:sz w:val="20"/>
          <w:lang w:val="en-GB"/>
        </w:rPr>
        <w:t>98</w:t>
      </w:r>
      <w:r w:rsidR="009B648A" w:rsidRPr="00F2448C">
        <w:rPr>
          <w:rFonts w:ascii="Times New Roman" w:hAnsi="Times New Roman" w:cs="Times New Roman"/>
          <w:sz w:val="20"/>
          <w:lang w:val="en-GB"/>
        </w:rPr>
        <w:noBreakHyphen/>
      </w:r>
      <w:r w:rsidRPr="00F2448C">
        <w:rPr>
          <w:rFonts w:ascii="Times New Roman" w:hAnsi="Times New Roman" w:cs="Times New Roman"/>
          <w:sz w:val="20"/>
          <w:lang w:val="en-GB"/>
        </w:rPr>
        <w:t>121.</w:t>
      </w:r>
    </w:p>
    <w:p w14:paraId="36B64E78" w14:textId="6B602C66"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Wooldridge, J.</w:t>
      </w:r>
      <w:r w:rsidR="003339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(2013)</w:t>
      </w:r>
      <w:r w:rsidR="004E36A7"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Econometric Analysis of Cross Section and Panel Data</w:t>
      </w:r>
      <w:r w:rsidR="00972986"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Cambridge</w:t>
      </w:r>
      <w:r w:rsidR="00E562A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MA.</w:t>
      </w:r>
      <w:r w:rsidR="00972986" w:rsidRPr="00F2448C">
        <w:rPr>
          <w:rFonts w:ascii="Times New Roman" w:hAnsi="Times New Roman" w:cs="Times New Roman"/>
          <w:sz w:val="20"/>
          <w:lang w:val="en-GB"/>
        </w:rPr>
        <w:t xml:space="preserve"> The MIT Press,</w:t>
      </w:r>
    </w:p>
    <w:p w14:paraId="0AED2FEF" w14:textId="6E77589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Ying, Q., Kong, D. and Luo, D. (2015). Investor attention, institutional ownership, and stock return: Empirical evidence from China.</w:t>
      </w:r>
      <w:r w:rsidR="004E36A7" w:rsidRPr="00F2448C">
        <w:rPr>
          <w:rFonts w:ascii="Times New Roman" w:hAnsi="Times New Roman" w:cs="Times New Roman"/>
          <w:sz w:val="20"/>
          <w:lang w:val="en-GB"/>
        </w:rPr>
        <w:t xml:space="preserve"> Emerg. Mark. Finance Trade. </w:t>
      </w:r>
      <w:r w:rsidRPr="00F2448C">
        <w:rPr>
          <w:rFonts w:ascii="Times New Roman" w:hAnsi="Times New Roman" w:cs="Times New Roman"/>
          <w:iCs/>
          <w:sz w:val="20"/>
          <w:lang w:val="en-GB"/>
        </w:rPr>
        <w:t>51(3)</w:t>
      </w:r>
      <w:r w:rsidR="004E36A7" w:rsidRPr="00F2448C">
        <w:rPr>
          <w:rFonts w:ascii="Times New Roman" w:hAnsi="Times New Roman" w:cs="Times New Roman"/>
          <w:iCs/>
          <w:sz w:val="20"/>
          <w:lang w:val="en-GB"/>
        </w:rPr>
        <w:t>:</w:t>
      </w:r>
      <w:r w:rsidRPr="00F2448C">
        <w:rPr>
          <w:rFonts w:ascii="Times New Roman" w:hAnsi="Times New Roman" w:cs="Times New Roman"/>
          <w:sz w:val="20"/>
          <w:lang w:val="en-GB"/>
        </w:rPr>
        <w:t>672</w:t>
      </w:r>
      <w:r w:rsidR="004E36A7" w:rsidRPr="00F2448C">
        <w:rPr>
          <w:rFonts w:ascii="Times New Roman" w:hAnsi="Times New Roman" w:cs="Times New Roman"/>
          <w:sz w:val="20"/>
          <w:lang w:val="en-GB"/>
        </w:rPr>
        <w:noBreakHyphen/>
      </w:r>
      <w:r w:rsidRPr="00F2448C">
        <w:rPr>
          <w:rFonts w:ascii="Times New Roman" w:hAnsi="Times New Roman" w:cs="Times New Roman"/>
          <w:sz w:val="20"/>
          <w:lang w:val="en-GB"/>
        </w:rPr>
        <w:t>685.</w:t>
      </w:r>
    </w:p>
    <w:p w14:paraId="1D1D98F0" w14:textId="4BFCB08C" w:rsidR="007F631B" w:rsidRPr="00F2448C" w:rsidRDefault="00B95047" w:rsidP="00A06726">
      <w:pPr>
        <w:autoSpaceDE w:val="0"/>
        <w:autoSpaceDN w:val="0"/>
        <w:adjustRightInd w:val="0"/>
        <w:spacing w:after="0" w:line="240" w:lineRule="auto"/>
        <w:jc w:val="both"/>
        <w:rPr>
          <w:rFonts w:ascii="Times New Roman" w:eastAsia="Times New Roman" w:hAnsi="Times New Roman" w:cs="Times New Roman"/>
          <w:iCs/>
          <w:sz w:val="20"/>
          <w:szCs w:val="24"/>
          <w:lang w:val="en-GB"/>
        </w:rPr>
      </w:pPr>
      <w:r w:rsidRPr="00F2448C">
        <w:rPr>
          <w:rFonts w:ascii="Times New Roman" w:hAnsi="Times New Roman" w:cs="Times New Roman"/>
          <w:sz w:val="20"/>
          <w:lang w:val="en-GB"/>
        </w:rPr>
        <w:t>Zou, H. and Adams, M.</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B. (2008).</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Corporate ownership, equity risk and returns in the People's Republic of China.</w:t>
      </w:r>
      <w:r w:rsidR="003669A2" w:rsidRPr="00F2448C">
        <w:rPr>
          <w:rFonts w:ascii="Times New Roman" w:hAnsi="Times New Roman" w:cs="Times New Roman"/>
          <w:sz w:val="20"/>
          <w:lang w:val="en-GB"/>
        </w:rPr>
        <w:t xml:space="preserve"> J. Int. Bus. Stud. </w:t>
      </w:r>
      <w:r w:rsidRPr="00F2448C">
        <w:rPr>
          <w:rFonts w:ascii="Times New Roman" w:hAnsi="Times New Roman" w:cs="Times New Roman"/>
          <w:iCs/>
          <w:sz w:val="20"/>
          <w:lang w:val="en-GB"/>
        </w:rPr>
        <w:t>39(</w:t>
      </w:r>
      <w:r w:rsidRPr="00F2448C">
        <w:rPr>
          <w:rFonts w:ascii="Times New Roman" w:hAnsi="Times New Roman" w:cs="Times New Roman"/>
          <w:sz w:val="20"/>
          <w:lang w:val="en-GB"/>
        </w:rPr>
        <w:t>7)</w:t>
      </w:r>
      <w:r w:rsidR="003669A2" w:rsidRPr="00F2448C">
        <w:rPr>
          <w:rFonts w:ascii="Times New Roman" w:hAnsi="Times New Roman" w:cs="Times New Roman"/>
          <w:sz w:val="20"/>
          <w:lang w:val="en-GB"/>
        </w:rPr>
        <w:t>:</w:t>
      </w:r>
      <w:r w:rsidRPr="00F2448C">
        <w:rPr>
          <w:rFonts w:ascii="Times New Roman" w:hAnsi="Times New Roman" w:cs="Times New Roman"/>
          <w:sz w:val="20"/>
          <w:lang w:val="en-GB"/>
        </w:rPr>
        <w:t>1149</w:t>
      </w:r>
      <w:r w:rsidR="003669A2" w:rsidRPr="00F2448C">
        <w:rPr>
          <w:rFonts w:ascii="Times New Roman" w:hAnsi="Times New Roman" w:cs="Times New Roman"/>
          <w:sz w:val="20"/>
          <w:lang w:val="en-GB"/>
        </w:rPr>
        <w:noBreakHyphen/>
      </w:r>
      <w:r w:rsidRPr="00F2448C">
        <w:rPr>
          <w:rFonts w:ascii="Times New Roman" w:hAnsi="Times New Roman" w:cs="Times New Roman"/>
          <w:sz w:val="20"/>
          <w:lang w:val="en-GB"/>
        </w:rPr>
        <w:t>1168.</w:t>
      </w:r>
    </w:p>
    <w:sectPr w:rsidR="007F631B" w:rsidRPr="00F2448C" w:rsidSect="007D30A6">
      <w:footerReference w:type="even" r:id="rId9"/>
      <w:footerReference w:type="default" r:id="rId10"/>
      <w:footerReference w:type="first" r:id="rId11"/>
      <w:pgSz w:w="11880" w:h="15840" w:code="25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5857" w14:textId="77777777" w:rsidR="00680DB3" w:rsidRDefault="00680DB3" w:rsidP="00142FA7">
      <w:pPr>
        <w:spacing w:after="0" w:line="240" w:lineRule="auto"/>
      </w:pPr>
      <w:r>
        <w:separator/>
      </w:r>
    </w:p>
  </w:endnote>
  <w:endnote w:type="continuationSeparator" w:id="0">
    <w:p w14:paraId="2A22498B" w14:textId="77777777" w:rsidR="00680DB3" w:rsidRDefault="00680DB3" w:rsidP="0014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CA19" w14:textId="7F27E8E8" w:rsidR="00142FA7" w:rsidRDefault="00142FA7">
    <w:pPr>
      <w:pStyle w:val="Footer"/>
    </w:pPr>
    <w:r>
      <w:rPr>
        <w:noProof/>
      </w:rPr>
      <mc:AlternateContent>
        <mc:Choice Requires="wps">
          <w:drawing>
            <wp:anchor distT="0" distB="0" distL="0" distR="0" simplePos="0" relativeHeight="251659264" behindDoc="0" locked="0" layoutInCell="1" allowOverlap="1" wp14:anchorId="391EFDB9" wp14:editId="7F44324E">
              <wp:simplePos x="635" y="635"/>
              <wp:positionH relativeFrom="page">
                <wp:align>left</wp:align>
              </wp:positionH>
              <wp:positionV relativeFrom="page">
                <wp:align>bottom</wp:align>
              </wp:positionV>
              <wp:extent cx="2085975" cy="344805"/>
              <wp:effectExtent l="0" t="0" r="9525" b="0"/>
              <wp:wrapNone/>
              <wp:docPr id="3390306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22907603" w14:textId="1B0C0877"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1EFDB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fill o:detectmouseclick="t"/>
              <v:textbox style="mso-fit-shape-to-text:t" inset="20pt,0,0,15pt">
                <w:txbxContent>
                  <w:p w14:paraId="22907603" w14:textId="1B0C0877"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D3F6" w14:textId="3007F962" w:rsidR="00142FA7" w:rsidRDefault="00142FA7">
    <w:pPr>
      <w:pStyle w:val="Footer"/>
    </w:pPr>
    <w:r>
      <w:rPr>
        <w:noProof/>
      </w:rPr>
      <mc:AlternateContent>
        <mc:Choice Requires="wps">
          <w:drawing>
            <wp:anchor distT="0" distB="0" distL="0" distR="0" simplePos="0" relativeHeight="251660288" behindDoc="0" locked="0" layoutInCell="1" allowOverlap="1" wp14:anchorId="3CF6E783" wp14:editId="2CBB5A16">
              <wp:simplePos x="635" y="635"/>
              <wp:positionH relativeFrom="page">
                <wp:align>left</wp:align>
              </wp:positionH>
              <wp:positionV relativeFrom="page">
                <wp:align>bottom</wp:align>
              </wp:positionV>
              <wp:extent cx="2085975" cy="344805"/>
              <wp:effectExtent l="0" t="0" r="9525" b="0"/>
              <wp:wrapNone/>
              <wp:docPr id="95451986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0FB39DC4" w14:textId="78B81109"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F6E78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fill o:detectmouseclick="t"/>
              <v:textbox style="mso-fit-shape-to-text:t" inset="20pt,0,0,15pt">
                <w:txbxContent>
                  <w:p w14:paraId="0FB39DC4" w14:textId="78B81109"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A51A" w14:textId="09B1F95A" w:rsidR="00142FA7" w:rsidRDefault="00142FA7">
    <w:pPr>
      <w:pStyle w:val="Footer"/>
    </w:pPr>
    <w:r>
      <w:rPr>
        <w:noProof/>
      </w:rPr>
      <mc:AlternateContent>
        <mc:Choice Requires="wps">
          <w:drawing>
            <wp:anchor distT="0" distB="0" distL="0" distR="0" simplePos="0" relativeHeight="251658240" behindDoc="0" locked="0" layoutInCell="1" allowOverlap="1" wp14:anchorId="0BB7B822" wp14:editId="727FB4FC">
              <wp:simplePos x="635" y="635"/>
              <wp:positionH relativeFrom="page">
                <wp:align>left</wp:align>
              </wp:positionH>
              <wp:positionV relativeFrom="page">
                <wp:align>bottom</wp:align>
              </wp:positionV>
              <wp:extent cx="2085975" cy="344805"/>
              <wp:effectExtent l="0" t="0" r="9525" b="0"/>
              <wp:wrapNone/>
              <wp:docPr id="15587262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1EB596FB" w14:textId="376DCB1A"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B7B82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fill o:detectmouseclick="t"/>
              <v:textbox style="mso-fit-shape-to-text:t" inset="20pt,0,0,15pt">
                <w:txbxContent>
                  <w:p w14:paraId="1EB596FB" w14:textId="376DCB1A" w:rsidR="00142FA7" w:rsidRPr="00142FA7" w:rsidRDefault="00142FA7" w:rsidP="00142FA7">
                    <w:pPr>
                      <w:spacing w:after="0"/>
                      <w:rPr>
                        <w:rFonts w:ascii="Rockwell" w:eastAsia="Rockwell" w:hAnsi="Rockwell" w:cs="Rockwell"/>
                        <w:noProof/>
                        <w:color w:val="0078D7"/>
                        <w:sz w:val="18"/>
                        <w:szCs w:val="18"/>
                      </w:rPr>
                    </w:pPr>
                    <w:r w:rsidRPr="00142FA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6F39" w14:textId="77777777" w:rsidR="00680DB3" w:rsidRDefault="00680DB3" w:rsidP="00142FA7">
      <w:pPr>
        <w:spacing w:after="0" w:line="240" w:lineRule="auto"/>
      </w:pPr>
      <w:r>
        <w:separator/>
      </w:r>
    </w:p>
  </w:footnote>
  <w:footnote w:type="continuationSeparator" w:id="0">
    <w:p w14:paraId="70172EB3" w14:textId="77777777" w:rsidR="00680DB3" w:rsidRDefault="00680DB3" w:rsidP="00142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26902">
    <w:abstractNumId w:val="0"/>
  </w:num>
  <w:num w:numId="2" w16cid:durableId="174256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0CA"/>
    <w:rsid w:val="00004B28"/>
    <w:rsid w:val="00021013"/>
    <w:rsid w:val="0003130A"/>
    <w:rsid w:val="0003678D"/>
    <w:rsid w:val="00037D7F"/>
    <w:rsid w:val="00045730"/>
    <w:rsid w:val="00050BAD"/>
    <w:rsid w:val="00080467"/>
    <w:rsid w:val="0008434D"/>
    <w:rsid w:val="000C4795"/>
    <w:rsid w:val="000C66E4"/>
    <w:rsid w:val="000D1738"/>
    <w:rsid w:val="000D658D"/>
    <w:rsid w:val="000E5A9B"/>
    <w:rsid w:val="00117CED"/>
    <w:rsid w:val="00133B5B"/>
    <w:rsid w:val="00142FA7"/>
    <w:rsid w:val="0016749B"/>
    <w:rsid w:val="0018687F"/>
    <w:rsid w:val="0019651C"/>
    <w:rsid w:val="001C6CAB"/>
    <w:rsid w:val="001E65AF"/>
    <w:rsid w:val="001F70A1"/>
    <w:rsid w:val="002002A5"/>
    <w:rsid w:val="00206D8C"/>
    <w:rsid w:val="00214370"/>
    <w:rsid w:val="00220DCB"/>
    <w:rsid w:val="002322C3"/>
    <w:rsid w:val="00267469"/>
    <w:rsid w:val="00270847"/>
    <w:rsid w:val="0028447D"/>
    <w:rsid w:val="00285FB5"/>
    <w:rsid w:val="002A732A"/>
    <w:rsid w:val="002F18E6"/>
    <w:rsid w:val="00324429"/>
    <w:rsid w:val="003339C9"/>
    <w:rsid w:val="003518BE"/>
    <w:rsid w:val="00361F32"/>
    <w:rsid w:val="003669A2"/>
    <w:rsid w:val="00376B81"/>
    <w:rsid w:val="00390C0E"/>
    <w:rsid w:val="003D4C3C"/>
    <w:rsid w:val="003F36C9"/>
    <w:rsid w:val="00420C69"/>
    <w:rsid w:val="00421973"/>
    <w:rsid w:val="004308F7"/>
    <w:rsid w:val="004368B3"/>
    <w:rsid w:val="004457C0"/>
    <w:rsid w:val="004508F2"/>
    <w:rsid w:val="00453762"/>
    <w:rsid w:val="00472F3B"/>
    <w:rsid w:val="00473BBB"/>
    <w:rsid w:val="00480485"/>
    <w:rsid w:val="00490A09"/>
    <w:rsid w:val="004C6B39"/>
    <w:rsid w:val="004D5526"/>
    <w:rsid w:val="004E14C8"/>
    <w:rsid w:val="004E36A7"/>
    <w:rsid w:val="004E3A0F"/>
    <w:rsid w:val="004F7FE1"/>
    <w:rsid w:val="00510237"/>
    <w:rsid w:val="005376DB"/>
    <w:rsid w:val="00543CD6"/>
    <w:rsid w:val="00586479"/>
    <w:rsid w:val="00590699"/>
    <w:rsid w:val="005B3D5C"/>
    <w:rsid w:val="005E3465"/>
    <w:rsid w:val="00627CC8"/>
    <w:rsid w:val="00656764"/>
    <w:rsid w:val="0067197D"/>
    <w:rsid w:val="00675CDE"/>
    <w:rsid w:val="00680DB3"/>
    <w:rsid w:val="00684F3B"/>
    <w:rsid w:val="006908C3"/>
    <w:rsid w:val="006949E6"/>
    <w:rsid w:val="006A5489"/>
    <w:rsid w:val="006E25FE"/>
    <w:rsid w:val="006E6098"/>
    <w:rsid w:val="00700FE8"/>
    <w:rsid w:val="00785388"/>
    <w:rsid w:val="007B0648"/>
    <w:rsid w:val="007B4598"/>
    <w:rsid w:val="007B71AF"/>
    <w:rsid w:val="007D140D"/>
    <w:rsid w:val="007D30A6"/>
    <w:rsid w:val="007E73BB"/>
    <w:rsid w:val="007F631B"/>
    <w:rsid w:val="007F7360"/>
    <w:rsid w:val="008045CF"/>
    <w:rsid w:val="00810356"/>
    <w:rsid w:val="008119E2"/>
    <w:rsid w:val="00813B14"/>
    <w:rsid w:val="008172D4"/>
    <w:rsid w:val="0081731B"/>
    <w:rsid w:val="00834527"/>
    <w:rsid w:val="00834DBB"/>
    <w:rsid w:val="0085253C"/>
    <w:rsid w:val="00874BB7"/>
    <w:rsid w:val="008919F6"/>
    <w:rsid w:val="00891CC6"/>
    <w:rsid w:val="00897327"/>
    <w:rsid w:val="008B641D"/>
    <w:rsid w:val="008C4E5C"/>
    <w:rsid w:val="008D3195"/>
    <w:rsid w:val="008E233A"/>
    <w:rsid w:val="00905DD4"/>
    <w:rsid w:val="00913B10"/>
    <w:rsid w:val="009228D2"/>
    <w:rsid w:val="009509A3"/>
    <w:rsid w:val="00964A6A"/>
    <w:rsid w:val="00972986"/>
    <w:rsid w:val="00974512"/>
    <w:rsid w:val="00980D0C"/>
    <w:rsid w:val="00984BD0"/>
    <w:rsid w:val="00996D9D"/>
    <w:rsid w:val="009A77E1"/>
    <w:rsid w:val="009B140C"/>
    <w:rsid w:val="009B4031"/>
    <w:rsid w:val="009B648A"/>
    <w:rsid w:val="009C7057"/>
    <w:rsid w:val="009E430B"/>
    <w:rsid w:val="009E5E6C"/>
    <w:rsid w:val="009F060F"/>
    <w:rsid w:val="009F7DC8"/>
    <w:rsid w:val="00A03C33"/>
    <w:rsid w:val="00A06726"/>
    <w:rsid w:val="00A142AD"/>
    <w:rsid w:val="00A310CA"/>
    <w:rsid w:val="00A53AAF"/>
    <w:rsid w:val="00A748EB"/>
    <w:rsid w:val="00A825D5"/>
    <w:rsid w:val="00A9406D"/>
    <w:rsid w:val="00A943A0"/>
    <w:rsid w:val="00B03C81"/>
    <w:rsid w:val="00B03E96"/>
    <w:rsid w:val="00B21C46"/>
    <w:rsid w:val="00B37E91"/>
    <w:rsid w:val="00B4534C"/>
    <w:rsid w:val="00B514D4"/>
    <w:rsid w:val="00B62E66"/>
    <w:rsid w:val="00B75A5B"/>
    <w:rsid w:val="00B95047"/>
    <w:rsid w:val="00B969AA"/>
    <w:rsid w:val="00BA0292"/>
    <w:rsid w:val="00BB66A1"/>
    <w:rsid w:val="00BC13CC"/>
    <w:rsid w:val="00BC5120"/>
    <w:rsid w:val="00BC6482"/>
    <w:rsid w:val="00BD2F20"/>
    <w:rsid w:val="00BF3347"/>
    <w:rsid w:val="00C07CA3"/>
    <w:rsid w:val="00C32C8E"/>
    <w:rsid w:val="00C478A4"/>
    <w:rsid w:val="00C55FC5"/>
    <w:rsid w:val="00C73661"/>
    <w:rsid w:val="00C96ACE"/>
    <w:rsid w:val="00CA6A80"/>
    <w:rsid w:val="00CB31CA"/>
    <w:rsid w:val="00CC2AA2"/>
    <w:rsid w:val="00CE1C86"/>
    <w:rsid w:val="00D03C7C"/>
    <w:rsid w:val="00D06DE7"/>
    <w:rsid w:val="00D147FD"/>
    <w:rsid w:val="00D17AD4"/>
    <w:rsid w:val="00D86681"/>
    <w:rsid w:val="00DA3286"/>
    <w:rsid w:val="00DB2B5F"/>
    <w:rsid w:val="00DB5166"/>
    <w:rsid w:val="00DB5826"/>
    <w:rsid w:val="00DC5DBE"/>
    <w:rsid w:val="00DD5432"/>
    <w:rsid w:val="00DE05A0"/>
    <w:rsid w:val="00DE3873"/>
    <w:rsid w:val="00E01049"/>
    <w:rsid w:val="00E05CC3"/>
    <w:rsid w:val="00E16177"/>
    <w:rsid w:val="00E22EE4"/>
    <w:rsid w:val="00E23044"/>
    <w:rsid w:val="00E418D3"/>
    <w:rsid w:val="00E46204"/>
    <w:rsid w:val="00E562AD"/>
    <w:rsid w:val="00E6160A"/>
    <w:rsid w:val="00E62AE2"/>
    <w:rsid w:val="00E839A1"/>
    <w:rsid w:val="00E84A56"/>
    <w:rsid w:val="00E90B28"/>
    <w:rsid w:val="00EC7949"/>
    <w:rsid w:val="00ED57D8"/>
    <w:rsid w:val="00EE10D5"/>
    <w:rsid w:val="00EF4A3A"/>
    <w:rsid w:val="00F00D99"/>
    <w:rsid w:val="00F10D60"/>
    <w:rsid w:val="00F1239F"/>
    <w:rsid w:val="00F1766D"/>
    <w:rsid w:val="00F214A3"/>
    <w:rsid w:val="00F2448C"/>
    <w:rsid w:val="00F47D57"/>
    <w:rsid w:val="00F55A4E"/>
    <w:rsid w:val="00F61672"/>
    <w:rsid w:val="00F67BB3"/>
    <w:rsid w:val="00F83F8B"/>
    <w:rsid w:val="00F8777D"/>
    <w:rsid w:val="00F941D5"/>
    <w:rsid w:val="00FA4BC9"/>
    <w:rsid w:val="00FA53F1"/>
    <w:rsid w:val="00FB2E73"/>
    <w:rsid w:val="00FB605B"/>
    <w:rsid w:val="00FB67F9"/>
    <w:rsid w:val="00FD069D"/>
    <w:rsid w:val="00FE0CEB"/>
    <w:rsid w:val="00FE1BF0"/>
    <w:rsid w:val="00FF322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15:docId w15:val="{D5CDA574-0744-4814-B510-1AE05A16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 w:type="paragraph" w:styleId="Footer">
    <w:name w:val="footer"/>
    <w:basedOn w:val="Normal"/>
    <w:link w:val="FooterChar"/>
    <w:uiPriority w:val="99"/>
    <w:unhideWhenUsed/>
    <w:rsid w:val="00142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xsrf=APq-WBvjm-k6Zy9EnMfFJFMJUR-kf4PwOA:1649753405534&amp;q=Bingley&amp;stick=H4sIAAAAAAAAAOPgE-LSz9U3MKoyzc4zV-IEsQ2NzUuytbSyk63084vSE_MyqxJLMvPzUDhWGamJKYWliUUlqUXFi1jZnTLz0nNSK3ewMu5iZ-JgAADwURm6VwAAAA&amp;sa=X&amp;ved=2ahUKEwj6ttCtko73AhUdRWwGHUsbByMQmxMoAXoECFUQ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64AA-F09E-45C4-8DD6-5FE3CB63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3298</Words>
  <Characters>18803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Mishra, Shatakshi</cp:lastModifiedBy>
  <cp:revision>45</cp:revision>
  <cp:lastPrinted>2022-10-13T14:18:00Z</cp:lastPrinted>
  <dcterms:created xsi:type="dcterms:W3CDTF">2022-04-12T08:37:00Z</dcterms:created>
  <dcterms:modified xsi:type="dcterms:W3CDTF">2025-01-29T10:54:00Z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94a6d6c,20551d5,38e4d13c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2025-01-29T10:54:59Z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d06fdaea-2bff-41d7-909b-350ed33eb833</vt:lpwstr>
  </property>
  <property fmtid="{D5CDD505-2E9C-101B-9397-08002B2CF9AE}" pid="11" name="MSIP_Label_2bbab825-a111-45e4-86a1-18cee0005896_ContentBits">
    <vt:lpwstr>2</vt:lpwstr>
  </property>
</Properties>
</file>